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5033" w14:textId="77777777" w:rsidR="00661C61" w:rsidRDefault="00000000">
      <w:pPr>
        <w:pStyle w:val="heading10"/>
      </w:pPr>
      <w:r>
        <w:t>Risicoanalyse Netwerkontwerp Provinciehuis Utrecht</w:t>
      </w:r>
    </w:p>
    <w:p w14:paraId="18212512" w14:textId="77777777" w:rsidR="00E76705" w:rsidRPr="00E76705" w:rsidRDefault="00E76705">
      <w:pPr>
        <w:spacing w:after="120"/>
        <w:rPr>
          <w:lang w:val="en-GB"/>
        </w:rPr>
      </w:pPr>
      <w:r>
        <w:rPr>
          <w:color w:val="888888"/>
          <w:sz w:val="18"/>
          <w:szCs w:val="18"/>
          <w:lang w:val="en-GB"/>
        </w:rPr>
        <w:t>ICT Tribe Almere | SLTN Group B.V. | mei 2026</w:t>
      </w:r>
    </w:p>
    <w:p w14:paraId="3BE4D502" w14:textId="77777777" w:rsidR="00E76705" w:rsidRDefault="00E76705">
      <w:pPr>
        <w:spacing w:after="120"/>
      </w:pPr>
    </w:p>
    <w:p w14:paraId="4571A07D" w14:textId="77777777" w:rsidR="00E76705" w:rsidRDefault="00E76705">
      <w:pPr>
        <w:pStyle w:val="heading20"/>
      </w:pPr>
      <w:r>
        <w:t>Toelichting</w:t>
      </w:r>
    </w:p>
    <w:p w14:paraId="433148A3" w14:textId="77777777" w:rsidR="00661C61" w:rsidRDefault="00000000">
      <w:pPr>
        <w:spacing w:after="120"/>
      </w:pPr>
      <w:r>
        <w:rPr>
          <w:color w:val="333333"/>
          <w:sz w:val="19"/>
          <w:szCs w:val="19"/>
        </w:rPr>
        <w:t>Deze risicoanalyse is opgesteld op basis van het netwerkontwerp en het IP-plan voor het Provinciehuis Utrecht. De risico's zijn ingedeeld in zes categorieën: infrastructuur/hardware, configuratie/software, beveiliging, fysiek/locatie, project/organisatie en overheid/Diginetwerk. Per risico is de kans van optreden en de impact op het project beoordeeld, gevolgd door de maatregel of beheersmaatregel die van toepassing is.</w:t>
      </w:r>
    </w:p>
    <w:p w14:paraId="54BC604B" w14:textId="77777777" w:rsidR="00661C61" w:rsidRDefault="00000000">
      <w:pPr>
        <w:spacing w:after="60"/>
      </w:pPr>
      <w:r>
        <w:rPr>
          <w:b/>
          <w:bCs/>
          <w:color w:val="333333"/>
          <w:sz w:val="19"/>
          <w:szCs w:val="19"/>
          <w:lang w:val="en-US"/>
        </w:rPr>
        <w:t>Legenda kans en impact:</w:t>
      </w:r>
    </w:p>
    <w:tbl>
      <w:tblPr>
        <w:tblW w:w="4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500"/>
        <w:gridCol w:w="1250"/>
      </w:tblGrid>
      <w:tr w:rsidR="00661C61" w14:paraId="3DD3DF70" w14:textId="77777777" w:rsidTr="6410E28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6F73C" w14:textId="77777777" w:rsidR="00661C61" w:rsidRDefault="00000000">
            <w:pPr>
              <w:jc w:val="center"/>
            </w:pPr>
            <w:r>
              <w:rPr>
                <w:b/>
                <w:bCs/>
                <w:color w:val="A32D2D"/>
                <w:sz w:val="16"/>
                <w:szCs w:val="16"/>
              </w:rPr>
              <w:t>H = Hoog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79868" w14:textId="77777777" w:rsidR="00661C61" w:rsidRDefault="00000000">
            <w:pPr>
              <w:jc w:val="center"/>
            </w:pPr>
            <w:r>
              <w:rPr>
                <w:b/>
                <w:bCs/>
                <w:color w:val="854F0B"/>
                <w:sz w:val="16"/>
                <w:szCs w:val="16"/>
              </w:rPr>
              <w:t>M = Midden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E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E9EED" w14:textId="77777777" w:rsidR="00661C61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  <w:lang w:val="en-US"/>
              </w:rPr>
              <w:t>L = Laag</w:t>
            </w:r>
          </w:p>
        </w:tc>
      </w:tr>
    </w:tbl>
    <w:p w14:paraId="042F9067" w14:textId="77777777" w:rsidR="00661C61" w:rsidRDefault="00661C61">
      <w:pPr>
        <w:spacing w:after="240"/>
      </w:pPr>
    </w:p>
    <w:p w14:paraId="7416B1A2" w14:textId="77777777" w:rsidR="00E76705" w:rsidRDefault="00E76705">
      <w:pPr>
        <w:pStyle w:val="heading20"/>
      </w:pPr>
      <w:r>
        <w:t>Overzicht risico's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683"/>
        <w:gridCol w:w="730"/>
        <w:gridCol w:w="885"/>
        <w:gridCol w:w="4157"/>
      </w:tblGrid>
      <w:tr w:rsidR="00661C61" w14:paraId="1928EE2B" w14:textId="77777777" w:rsidTr="429674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89B3" w14:textId="77777777" w:rsidR="00661C6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960F" w14:textId="77777777" w:rsidR="00661C61" w:rsidRDefault="00000000">
            <w:r>
              <w:rPr>
                <w:b/>
                <w:bCs/>
                <w:color w:val="FFFFFF"/>
                <w:sz w:val="20"/>
                <w:szCs w:val="20"/>
              </w:rPr>
              <w:t>Risico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84DC" w14:textId="77777777" w:rsidR="00661C61" w:rsidRDefault="00000000">
            <w:r>
              <w:rPr>
                <w:b/>
                <w:bCs/>
                <w:color w:val="FFFFFF"/>
                <w:sz w:val="20"/>
                <w:szCs w:val="20"/>
              </w:rPr>
              <w:t>Kans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A35E" w14:textId="77777777" w:rsidR="00661C6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36DF" w14:textId="77777777" w:rsidR="00661C61" w:rsidRDefault="00000000">
            <w:r>
              <w:rPr>
                <w:b/>
                <w:bCs/>
                <w:color w:val="FFFFFF"/>
                <w:sz w:val="20"/>
                <w:szCs w:val="20"/>
                <w:lang w:val="en-US"/>
              </w:rPr>
              <w:t>Maatregel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color w:val="1B5FA8"/>
                <w:sz w:val="20"/>
                <w:szCs w:val="20"/>
              </w:rPr>
              <w:t>Infrastructuur / hardware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Uitval van één ISP-verbinding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Dubbele ISP via gescheiden tracés; SD-WAN failover via firewall HA-cluster.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Uitval Core-A of Core-B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Gedeeld gateway-adres; automatische overname. Access-stacks op etages hebben twee fiber-uplinks: één naar Core-A en één naar Core-B. STP schakelt automatisch over bij uitval van een core.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Uitval access switch op een etage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Geaccepteerd risico. ~48 werkplekken tijdelijk niet bereikbaar. Oplossing via standaard hardware swap.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PoE-budget onvoldoende bij maximale bezetting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PoE-budget berekenen voor worst-case. Bij tekort extra PoE injectors of switch met hoger budget.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Fiber backbone beschadigd tijdens verbouwing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Kabelrouting via beschermde stijgschacht met beschermingsbuis. Routering documenteren voor aannemer.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Spanning tree loop door foutieve aansluiting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BPDU Guard en Root Guard op alle access poorten inschakelen.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Uitval firewall HA-cluster (beide tegelijk)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Firmware updates gefaseerd, nooit beide firewalls tegelijk. Onderhoudsvenster buiten kantoortijden.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Uitval cloud-managed AP-platform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APs blijven bij uitval cloudplatform bestaande configuratie doorsturen. Beheer en nieuwe uitrol tijdelijk niet mogelijk. Redundante internetverbinding verkleint kans op onbereikbaarheid platform.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Meraki cloud dashboard onbereikbaar, switches niet te beheren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Geaccepteerd risico. Bij uitval van het Meraki cloud dashboard blijft alle dataverkeer en netwerksegmentatie volledig operationeel: HSRP, STP, VLANs, trunking en 802.1X authenticatie (via lokale RADIUS/NPS) draaien door op de switches zelf. Alleen het beheervlak valt weg -- nieuwe configuratiewijzigingen en provisioning van nieuwe devices zijn tijdelijk niet mogelijk. Geen lokale dashboard-optie beschikbaar (by design bij Meraki). Mitigatie: wijzigingen plannen via change management, bij voorkeur buiten kantoortijden. Redundante internetverbinding verkleint kans op onbereikbaarheid dashboard.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color w:val="1B5FA8"/>
                <w:sz w:val="20"/>
                <w:szCs w:val="20"/>
              </w:rPr>
              <w:t>Configuratie / software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DHCP-conflicten door overlappende subnetten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Elk VLAN heeft één gebouwbreed subnet; per-etage subnetten zijn niet aanwezig. VLAN 100 gebruikt 10.100.0.0/22 als enkel adresblok, wat adresoverlap structureel uitsluit. Één DHCP-server (FortiGate) per VLAN. DHCP-snooping op access switches.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Verkeerde VLAN-configuratie, segmentatie faalt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VLAN-structuur gedocumenteerd in IP-plan. Validatie via testprocedure voor oplevering.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Management VLAN niet gescheiden van productie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Dedicated management VLAN (VLAN 10). Toegang tot switches uitsluitend via dat VLAN.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VLAN hopping via verkeerd geconfigureerde trunk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Native VLAN niet voor productieverkeer. Allowed VLANs expliciet definiëren per trunk.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QoS niet geconfigureerd, VOIP-kwaliteit degradeert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VOIP VLAN 50 markeren met DSCP/CoS prioriteit op alle switches en core.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Asymmetrische routing tussen Core-A en Core-B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Redundante L3 routing met gedeeld gateway-adres. Valideren via testprocedure.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DNS-uitval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Twee DNS-servers in serversubnet. Externe DNS als fallback.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Configuratiefout bij bulk-uitrol 91 APs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Cloud-managed AP-platform met deployment templates. Individuele validatie per zone na uitrol.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Kanaalinterferentie tussen APs bij hoge bezetting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Automatische kanaalplanning via cloud-managed AP-platform. Dekking en interferentie meten tijdens acceptatietest in drukke zones (kantine, Statenzaal).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color w:val="1B5FA8"/>
                <w:sz w:val="20"/>
                <w:szCs w:val="20"/>
              </w:rPr>
              <w:t>Beveiliging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Ongeautoriseerde toegang via onbeheerde poort in vergaderruimte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802.1X poortauthenticatie is de primaire segmentatiemethode: elke poort wijst VLAN toe op basis van identiteit via RADIUS gekoppeld aan Entra ID. Ongeautoriseerde devices zonder geldige credentials krijgen geen netwerktoegang. Ongebruikte poorten in quarantaine-VLAN geplaatst en uitgeschakeld.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Uitval RADIUS-server, medewerkers kunnen niet inloggen op netwerk (802.1X afhankelijkheid)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RADIUS-server (Windows NPS) op een redundante VM in de serverruimte draaien, los van de primaire servers. 802.1X fail-open instellen op bekabelde access poorten: bij uitval van RADIUS krijgen devices tijdelijk toegang tot een beperkt fallback-VLAN in plaats van volledige blokkade. Monitoring op NPS-servicestatus via beheerplatform. Zie ook R19.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Gast-WiFi bereikbaar buiten gebouw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Gastnetwerk op eigen SSID en VLAN 90 met client-isolatie. Transmit power beperken op buitengerichte APs.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AV/IoT in Statenzaal op zelfde segment als intern netwerk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AV-systemen op VLAN 80 IoT. Geen routering naar intern netwerk.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Gecompromitteerde camera maakt laterale beweging mogelijk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Camerasysteem op VLAN 70 via PoE switch 4 in Rack 4. Geen routering naar intern netwerk.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Rogue AP aangesloten op access poort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Dynamic ARP Inspection + DHCP-snooping. WIPS-functie op AP-platform voor detectie.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Ongeautoriseerde toegang via publiek VLAN naar intern netwerk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Publieksbalie op VLAN 40, volledig geïsoleerd. Geen routering naar intern netwerk via firewall.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color w:val="1B5FA8"/>
                <w:sz w:val="20"/>
                <w:szCs w:val="20"/>
              </w:rPr>
              <w:t>Fysiek / locatie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Ongeautoriseerde fysieke toegang serverruimte of NK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Serverruimte met badge-toegang. NKs afgesloten. Cameratoezicht op VLAN 70. Randvoorwaarde bij opdrachtgever.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Stroomstoring raakt netwerkinfrastructuur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UPS op alle racks. Core en PoE switches op noodstroom. Randvoorwaarde bij opdrachtgever.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UPS batterij defect of leeg bij stroomstoring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UPS batterijen periodiek testen en preventief vervangen. Monitoring op UPS-status en batterijcapaciteit via beheerplatform. Randvoorwaarde bij opdrachtgever.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Oververhitting serverruimte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Koeling is verantwoordelijkheid opdrachtgever. Als aanname documenteren dat ruimte voldoet aan vereisten.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Bekabelingsfouten in patchkast na oplevering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Patchpanelen voorzien van labeling conform IP-plan. Patchschema per NK opleveren als onderdeel documentatie.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Onvoldoende WiFi-dekking in drukke zones (kantine, Statenzaal)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11 APs begane grond, 4 in kantine, 2 in Statenzaal. Dekking meten tijdens acceptatietest.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color w:val="1B5FA8"/>
                <w:sz w:val="20"/>
                <w:szCs w:val="20"/>
              </w:rPr>
              <w:t>Project / organisatie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Scope creep na briefing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Wijzigingen via change-proces. Ontwerp bevroren na goedkeuring; wijzigingen vereisen nieuwe acceptatieronde.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Inconsistent ontwerp door uiteenlopend kennisniveau groep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Taakverdeling en review-moment inbouwen. Gedeeld document in Teams als single source of truth.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Testprocedure onvolledig voor oplevering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Testplan vroeg opstellen. VLAN-segmentatie, failover core en DHCP als kritieke tests prioriteren.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Documentatie incompleet, ontwerp niet overdraagbaar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IP-plan, topologietekening, VLAN-overzicht en patchschema zijn verplichte opleverdocumenten.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Hardware later ingekocht, testmogelijkheden beperkt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Ontwerp hardware-agnostisch. EVE-NG simulatie is beschikbaar voor logische validatie als fysieke hardware ontbreekt; zie het validatierapport.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color w:val="1B5FA8"/>
                <w:sz w:val="20"/>
                <w:szCs w:val="20"/>
              </w:rPr>
              <w:t>Overheid / Diginetwerk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Uitval Diginetwerk-verbinding buiten invloed SLTN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 L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 H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Diginetwerk op VLAN 15, technisch gescheiden van internet. Storingen escaleren naar Diginetwerk-beheerder.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R38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BIO/AVG-maatregelen niet opgenomen in ontwerp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 M 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Ontwerp biedt segmentatie en toegangscontrole als basis. Specifieke BIO-maatregelen buiten scope; als aanname documenteren.</w:t>
            </w:r>
          </w:p>
        </w:tc>
      </w:tr>
    </w:tbl>
    <w:p w14:paraId="5A4648EB" w14:textId="77777777" w:rsidR="00E76705" w:rsidRDefault="00E76705">
      <w:pPr>
        <w:spacing w:after="120"/>
      </w:pPr>
    </w:p>
    <w:p w14:paraId="23AB66FC" w14:textId="77777777" w:rsidR="00661C61" w:rsidRDefault="00661C61">
      <w:pPr>
        <w:spacing w:after="240"/>
      </w:pPr>
    </w:p>
    <w:sectPr w:rsidR="00661C61" w:rsidSect="00E76705">
      <w:pgSz w:w="11900" w:h="1682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BC9CF"/>
    <w:multiLevelType w:val="hybridMultilevel"/>
    <w:tmpl w:val="40008D7A"/>
    <w:lvl w:ilvl="0" w:tplc="E82C9982">
      <w:start w:val="1"/>
      <w:numFmt w:val="bullet"/>
      <w:lvlText w:val="●"/>
      <w:lvlJc w:val="left"/>
      <w:pPr>
        <w:ind w:left="720" w:hanging="360"/>
      </w:pPr>
    </w:lvl>
    <w:lvl w:ilvl="1" w:tplc="8EDE7D22">
      <w:start w:val="1"/>
      <w:numFmt w:val="bullet"/>
      <w:lvlText w:val="○"/>
      <w:lvlJc w:val="left"/>
      <w:pPr>
        <w:ind w:left="1440" w:hanging="360"/>
      </w:pPr>
    </w:lvl>
    <w:lvl w:ilvl="2" w:tplc="E2440A42">
      <w:start w:val="1"/>
      <w:numFmt w:val="bullet"/>
      <w:lvlText w:val="■"/>
      <w:lvlJc w:val="left"/>
      <w:pPr>
        <w:ind w:left="2160" w:hanging="360"/>
      </w:pPr>
    </w:lvl>
    <w:lvl w:ilvl="3" w:tplc="C12C34DC">
      <w:start w:val="1"/>
      <w:numFmt w:val="bullet"/>
      <w:lvlText w:val="●"/>
      <w:lvlJc w:val="left"/>
      <w:pPr>
        <w:ind w:left="2880" w:hanging="360"/>
      </w:pPr>
    </w:lvl>
    <w:lvl w:ilvl="4" w:tplc="2D349790">
      <w:start w:val="1"/>
      <w:numFmt w:val="bullet"/>
      <w:lvlText w:val="○"/>
      <w:lvlJc w:val="left"/>
      <w:pPr>
        <w:ind w:left="3600" w:hanging="360"/>
      </w:pPr>
    </w:lvl>
    <w:lvl w:ilvl="5" w:tplc="F15CFC8A">
      <w:start w:val="1"/>
      <w:numFmt w:val="bullet"/>
      <w:lvlText w:val="■"/>
      <w:lvlJc w:val="left"/>
      <w:pPr>
        <w:ind w:left="4320" w:hanging="360"/>
      </w:pPr>
    </w:lvl>
    <w:lvl w:ilvl="6" w:tplc="0540DCDA">
      <w:start w:val="1"/>
      <w:numFmt w:val="bullet"/>
      <w:lvlText w:val="●"/>
      <w:lvlJc w:val="left"/>
      <w:pPr>
        <w:ind w:left="5040" w:hanging="360"/>
      </w:pPr>
    </w:lvl>
    <w:lvl w:ilvl="7" w:tplc="45EE130E">
      <w:start w:val="1"/>
      <w:numFmt w:val="bullet"/>
      <w:lvlText w:val="●"/>
      <w:lvlJc w:val="left"/>
      <w:pPr>
        <w:ind w:left="5760" w:hanging="360"/>
      </w:pPr>
    </w:lvl>
    <w:lvl w:ilvl="8" w:tplc="81643BDC">
      <w:start w:val="1"/>
      <w:numFmt w:val="bullet"/>
      <w:lvlText w:val="●"/>
      <w:lvlJc w:val="left"/>
      <w:pPr>
        <w:ind w:left="6480" w:hanging="360"/>
      </w:pPr>
    </w:lvl>
  </w:abstractNum>
  <w:num w:numId="1" w16cid:durableId="1146900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10E28C"/>
    <w:rsid w:val="00661C61"/>
    <w:rsid w:val="00DA38AB"/>
    <w:rsid w:val="00E76705"/>
    <w:rsid w:val="42967417"/>
    <w:rsid w:val="6410E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331801"/>
  <w15:docId w15:val="{9E7683D3-60F0-4116-89E1-33F1E04A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after="160"/>
      <w:outlineLvl w:val="0"/>
    </w:pPr>
    <w:rPr>
      <w:b/>
      <w:bCs/>
      <w:color w:val="1B5FA8"/>
      <w:sz w:val="36"/>
      <w:szCs w:val="36"/>
    </w:rPr>
  </w:style>
  <w:style w:type="paragraph" w:customStyle="1" w:styleId="heading20">
    <w:name w:val="heading 20"/>
    <w:qFormat/>
    <w:pPr>
      <w:spacing w:before="240" w:after="120"/>
      <w:outlineLvl w:val="1"/>
    </w:pPr>
    <w:rPr>
      <w:b/>
      <w:bCs/>
      <w:color w:val="44444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d1da80-c6fe-4ee0-9cbe-111820c4a392">
      <Terms xmlns="http://schemas.microsoft.com/office/infopath/2007/PartnerControls"/>
    </lcf76f155ced4ddcb4097134ff3c332f>
    <TaxCatchAll xmlns="cba57ae4-4814-449b-b8d4-638f14142a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E65F6E16C544C8DEBA0BBC86EA922" ma:contentTypeVersion="11" ma:contentTypeDescription="Een nieuw document maken." ma:contentTypeScope="" ma:versionID="b6b68c0edcb9183ee43c838418adf50b">
  <xsd:schema xmlns:xsd="http://www.w3.org/2001/XMLSchema" xmlns:xs="http://www.w3.org/2001/XMLSchema" xmlns:p="http://schemas.microsoft.com/office/2006/metadata/properties" xmlns:ns2="26d1da80-c6fe-4ee0-9cbe-111820c4a392" xmlns:ns3="cba57ae4-4814-449b-b8d4-638f14142a6e" targetNamespace="http://schemas.microsoft.com/office/2006/metadata/properties" ma:root="true" ma:fieldsID="487abc8cfb077f07d03aa7c52181f1a6" ns2:_="" ns3:_="">
    <xsd:import namespace="26d1da80-c6fe-4ee0-9cbe-111820c4a392"/>
    <xsd:import namespace="cba57ae4-4814-449b-b8d4-638f14142a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d1da80-c6fe-4ee0-9cbe-111820c4a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5f564dcc-d30d-477c-a61d-ad4d61a66d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57ae4-4814-449b-b8d4-638f14142a6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425d95-8ad1-4fcd-b1b9-bbcd9f136bef}" ma:internalName="TaxCatchAll" ma:showField="CatchAllData" ma:web="cba57ae4-4814-449b-b8d4-638f14142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80A9CD-A56F-486A-A63C-C57407ACD3DB}">
  <ds:schemaRefs>
    <ds:schemaRef ds:uri="http://schemas.microsoft.com/office/2006/metadata/properties"/>
    <ds:schemaRef ds:uri="http://schemas.microsoft.com/office/infopath/2007/PartnerControls"/>
    <ds:schemaRef ds:uri="26d1da80-c6fe-4ee0-9cbe-111820c4a392"/>
    <ds:schemaRef ds:uri="cba57ae4-4814-449b-b8d4-638f14142a6e"/>
  </ds:schemaRefs>
</ds:datastoreItem>
</file>

<file path=customXml/itemProps2.xml><?xml version="1.0" encoding="utf-8"?>
<ds:datastoreItem xmlns:ds="http://schemas.openxmlformats.org/officeDocument/2006/customXml" ds:itemID="{2583BE87-79D0-4CEE-B54B-8D379E4BFD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D6B9BD-66C8-45E7-8267-F42D71F3B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d1da80-c6fe-4ee0-9cbe-111820c4a392"/>
    <ds:schemaRef ds:uri="cba57ae4-4814-449b-b8d4-638f14142a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938</Words>
  <Characters>6065</Characters>
  <Application>Microsoft Office Word</Application>
  <DocSecurity>0</DocSecurity>
  <Lines>336</Lines>
  <Paragraphs>241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Bastiaan van Oorde</cp:lastModifiedBy>
  <cp:revision>4</cp:revision>
  <dcterms:created xsi:type="dcterms:W3CDTF">2026-05-21T11:51:00Z</dcterms:created>
  <dcterms:modified xsi:type="dcterms:W3CDTF">2026-05-22T09:15:00Z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0x0101005F8E65F6E16C544C8DEBA0BBC86EA922</vt:lpwstr>
  </property>
  <property fmtid="{D5CDD505-2E9C-101B-9397-08002B2CF9AE}" pid="3" name="MediaServiceImageTags">
    <vt:lpwstr/>
  </property>
</Properties>
</file>