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2A" w:rsidRPr="00F0742A" w:rsidRDefault="00F0742A" w:rsidP="00F0742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F0742A">
        <w:rPr>
          <w:rFonts w:ascii="Arial" w:hAnsi="Arial" w:cs="Arial"/>
          <w:b/>
          <w:sz w:val="24"/>
          <w:szCs w:val="24"/>
        </w:rPr>
        <w:t>INSTITUTO MARIANO MORENO</w:t>
      </w:r>
    </w:p>
    <w:p w:rsidR="00F0742A" w:rsidRPr="00F0742A" w:rsidRDefault="00F0742A" w:rsidP="00F0742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sz w:val="24"/>
          <w:szCs w:val="24"/>
        </w:rPr>
        <w:t xml:space="preserve">Nombre: Roger </w:t>
      </w:r>
      <w:proofErr w:type="spellStart"/>
      <w:r w:rsidRPr="00F0742A">
        <w:rPr>
          <w:rFonts w:ascii="Arial" w:hAnsi="Arial" w:cs="Arial"/>
          <w:sz w:val="24"/>
          <w:szCs w:val="24"/>
        </w:rPr>
        <w:t>Alcivar</w:t>
      </w:r>
      <w:proofErr w:type="spellEnd"/>
    </w:p>
    <w:p w:rsidR="00F0742A" w:rsidRPr="00F0742A" w:rsidRDefault="00F0742A" w:rsidP="00F0742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sz w:val="24"/>
          <w:szCs w:val="24"/>
        </w:rPr>
        <w:t>Materia: Nutrición y Salud</w:t>
      </w:r>
    </w:p>
    <w:p w:rsidR="00F0742A" w:rsidRPr="00F0742A" w:rsidRDefault="00F0742A" w:rsidP="00F0742A">
      <w:pPr>
        <w:jc w:val="both"/>
        <w:rPr>
          <w:rFonts w:ascii="Arial" w:hAnsi="Arial" w:cs="Arial"/>
          <w:sz w:val="24"/>
          <w:szCs w:val="24"/>
        </w:rPr>
      </w:pPr>
    </w:p>
    <w:p w:rsidR="00AE7A87" w:rsidRPr="00F0742A" w:rsidRDefault="00AE7A87" w:rsidP="00F0742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F0742A">
        <w:rPr>
          <w:rFonts w:ascii="Arial" w:hAnsi="Arial" w:cs="Arial"/>
          <w:b/>
          <w:sz w:val="24"/>
          <w:szCs w:val="24"/>
        </w:rPr>
        <w:t>Etiquetado de alimentos en Ecuador</w:t>
      </w:r>
    </w:p>
    <w:bookmarkEnd w:id="0"/>
    <w:p w:rsidR="00AE7A87" w:rsidRPr="00F0742A" w:rsidRDefault="00AE7A87" w:rsidP="00F0742A">
      <w:pPr>
        <w:jc w:val="center"/>
        <w:rPr>
          <w:rFonts w:ascii="Arial" w:hAnsi="Arial" w:cs="Arial"/>
          <w:b/>
          <w:sz w:val="24"/>
          <w:szCs w:val="24"/>
        </w:rPr>
      </w:pPr>
      <w:r w:rsidRPr="00F0742A">
        <w:rPr>
          <w:rFonts w:ascii="Arial" w:hAnsi="Arial" w:cs="Arial"/>
          <w:b/>
          <w:sz w:val="24"/>
          <w:szCs w:val="24"/>
        </w:rPr>
        <w:t>Semáforo</w:t>
      </w:r>
    </w:p>
    <w:p w:rsidR="00EE5289" w:rsidRPr="00F0742A" w:rsidRDefault="00AE7A87" w:rsidP="00F0742A">
      <w:pPr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sz w:val="24"/>
          <w:szCs w:val="24"/>
        </w:rPr>
        <w:t>Implementación del sistema gráfico de etiquetado de alimentos procesados. En 2012, el Ministerio de Salud Pública (MSP), conjuntamente con el Ministerio Coordinador de Desarrollo Social (MCDS) y la Agencia Nacional de Regulación, Control y Vigilancia Sanitaria (ARCSA), convocaron a distintos actores sociales para debatir la propuesta de reglamento para el etiquetado gráfico de alimentos procesados y bebidas. Paralelamente, se impu</w:t>
      </w:r>
      <w:r w:rsidR="00F0742A" w:rsidRPr="00F0742A">
        <w:rPr>
          <w:rFonts w:ascii="Arial" w:hAnsi="Arial" w:cs="Arial"/>
          <w:sz w:val="24"/>
          <w:szCs w:val="24"/>
        </w:rPr>
        <w:t>lsó un proceso de validación</w:t>
      </w:r>
      <w:r w:rsidRPr="00F0742A">
        <w:rPr>
          <w:rFonts w:ascii="Arial" w:hAnsi="Arial" w:cs="Arial"/>
          <w:sz w:val="24"/>
          <w:szCs w:val="24"/>
        </w:rPr>
        <w:t xml:space="preserve">, que evaluó la comprensión, aceptación y funcionalidad de diferentes propuestas, lo que orientó la decisión de utilizar una etiqueta </w:t>
      </w:r>
      <w:proofErr w:type="spellStart"/>
      <w:r w:rsidRPr="00F0742A">
        <w:rPr>
          <w:rFonts w:ascii="Arial" w:hAnsi="Arial" w:cs="Arial"/>
          <w:sz w:val="24"/>
          <w:szCs w:val="24"/>
        </w:rPr>
        <w:t>semaforizada</w:t>
      </w:r>
      <w:proofErr w:type="spellEnd"/>
      <w:r w:rsidRPr="00F0742A">
        <w:rPr>
          <w:rFonts w:ascii="Arial" w:hAnsi="Arial" w:cs="Arial"/>
          <w:sz w:val="24"/>
          <w:szCs w:val="24"/>
        </w:rPr>
        <w:t xml:space="preserve"> con barras horizontales, letras grandes y sin mensajes extras que pudieran confundir al consumidor</w:t>
      </w:r>
    </w:p>
    <w:p w:rsidR="00AE7A87" w:rsidRPr="00F0742A" w:rsidRDefault="00AE7A87" w:rsidP="00F0742A">
      <w:pPr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sz w:val="24"/>
          <w:szCs w:val="24"/>
        </w:rPr>
        <w:t>Sin duda, todo este proceso no fue simple ni estuvo exento de fuertes negociaciones con la industria, que implicaron concesiones que modifi</w:t>
      </w:r>
      <w:r w:rsidR="00F0742A" w:rsidRPr="00F0742A">
        <w:rPr>
          <w:rFonts w:ascii="Arial" w:hAnsi="Arial" w:cs="Arial"/>
          <w:sz w:val="24"/>
          <w:szCs w:val="24"/>
        </w:rPr>
        <w:t>caron la propuesta original</w:t>
      </w:r>
      <w:r w:rsidRPr="00F0742A">
        <w:rPr>
          <w:rFonts w:ascii="Arial" w:hAnsi="Arial" w:cs="Arial"/>
          <w:sz w:val="24"/>
          <w:szCs w:val="24"/>
        </w:rPr>
        <w:t>, como, por ejemplo, la eliminación de la prohibición de usar imágenes o animales, la inclusión de definiciones de azucares (propias o añadidas), edulcorantes (no calóricos, naturales o artificiales) y sal, el reemplazo de valores de sal en gramos por sodio en miligramos, o la opción de ubicar el etiquetado en el panel principal o secundario, a pesar de que las pruebas científicas disponibles muestras que el etiquetado frontal contribuye a identificar y seleccion</w:t>
      </w:r>
      <w:r w:rsidR="00F0742A" w:rsidRPr="00F0742A">
        <w:rPr>
          <w:rFonts w:ascii="Arial" w:hAnsi="Arial" w:cs="Arial"/>
          <w:sz w:val="24"/>
          <w:szCs w:val="24"/>
        </w:rPr>
        <w:t>ar los alimentos saludables .</w:t>
      </w:r>
    </w:p>
    <w:p w:rsidR="00AE7A87" w:rsidRPr="00F0742A" w:rsidRDefault="00AE7A87" w:rsidP="00F0742A">
      <w:pPr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sz w:val="24"/>
          <w:szCs w:val="24"/>
        </w:rPr>
        <w:t>El sistema gráfico previsto por el reglamento establece una barra roja para los productos con contenido “ALTO” en grasa, azúcar o sal, la barra de color amarillo, para el contenido “MEDIO”, y la barra de color verde, para el contenido “BAJO” en estos componentes</w:t>
      </w:r>
      <w:r w:rsidRPr="00F0742A">
        <w:rPr>
          <w:rFonts w:ascii="Arial" w:hAnsi="Arial" w:cs="Arial"/>
          <w:sz w:val="24"/>
          <w:szCs w:val="24"/>
        </w:rPr>
        <w:t xml:space="preserve">. </w:t>
      </w:r>
      <w:r w:rsidRPr="00F0742A">
        <w:rPr>
          <w:rFonts w:ascii="Arial" w:hAnsi="Arial" w:cs="Arial"/>
          <w:sz w:val="24"/>
          <w:szCs w:val="24"/>
        </w:rPr>
        <w:t>Los puntos de corte (cuadro 1) se fijaron mediante el cálculo de la cantidad en gramos que el producto contiene (azúcar, grasa o sal) conforme a la recomendación de la Organización Pan</w:t>
      </w:r>
      <w:r w:rsidR="00F0742A" w:rsidRPr="00F0742A">
        <w:rPr>
          <w:rFonts w:ascii="Arial" w:hAnsi="Arial" w:cs="Arial"/>
          <w:sz w:val="24"/>
          <w:szCs w:val="24"/>
        </w:rPr>
        <w:t>americana de la Salud (OPS)</w:t>
      </w:r>
      <w:r w:rsidRPr="00F0742A">
        <w:rPr>
          <w:rFonts w:ascii="Arial" w:hAnsi="Arial" w:cs="Arial"/>
          <w:sz w:val="24"/>
          <w:szCs w:val="24"/>
        </w:rPr>
        <w:t>, a pesar de que la industria proponía realizar un cálculo basado en porcentajes.</w:t>
      </w:r>
    </w:p>
    <w:p w:rsidR="00AE7A87" w:rsidRPr="00F0742A" w:rsidRDefault="00F0742A" w:rsidP="00F0742A">
      <w:pPr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02FADDD5" wp14:editId="6D1CF078">
            <wp:extent cx="5731510" cy="1355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87" w:rsidRPr="00F0742A" w:rsidRDefault="00AE7A87" w:rsidP="00F0742A">
      <w:pPr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noProof/>
          <w:sz w:val="24"/>
          <w:szCs w:val="24"/>
          <w:lang w:eastAsia="es-EC"/>
        </w:rPr>
        <w:lastRenderedPageBreak/>
        <w:drawing>
          <wp:inline distT="0" distB="0" distL="0" distR="0" wp14:anchorId="0A421F5D" wp14:editId="25B9EF41">
            <wp:extent cx="4476750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87" w:rsidRPr="00F0742A" w:rsidRDefault="00AE7A87" w:rsidP="00F0742A">
      <w:pPr>
        <w:jc w:val="both"/>
        <w:rPr>
          <w:rFonts w:ascii="Arial" w:hAnsi="Arial" w:cs="Arial"/>
          <w:sz w:val="24"/>
          <w:szCs w:val="24"/>
        </w:rPr>
      </w:pPr>
    </w:p>
    <w:p w:rsidR="00AE7A87" w:rsidRPr="00F0742A" w:rsidRDefault="00AE7A87" w:rsidP="00F0742A">
      <w:pPr>
        <w:jc w:val="both"/>
        <w:rPr>
          <w:rFonts w:ascii="Arial" w:hAnsi="Arial" w:cs="Arial"/>
          <w:sz w:val="24"/>
          <w:szCs w:val="24"/>
        </w:rPr>
      </w:pPr>
      <w:r w:rsidRPr="00F0742A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691C5A7E" wp14:editId="7FC8715B">
            <wp:extent cx="5731510" cy="3288645"/>
            <wp:effectExtent l="0" t="0" r="2540" b="7620"/>
            <wp:docPr id="2" name="Picture 2" descr="http://cde.peru21.pe/ima/0/0/4/7/3/47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e.peru21.pe/ima/0/0/4/7/3/4737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A87" w:rsidRPr="00F074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87"/>
    <w:rsid w:val="00AE7A87"/>
    <w:rsid w:val="00EE5289"/>
    <w:rsid w:val="00F0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74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74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Alcivar</dc:creator>
  <cp:lastModifiedBy>Roger Alcivar</cp:lastModifiedBy>
  <cp:revision>1</cp:revision>
  <dcterms:created xsi:type="dcterms:W3CDTF">2019-07-08T20:56:00Z</dcterms:created>
  <dcterms:modified xsi:type="dcterms:W3CDTF">2019-07-08T21:11:00Z</dcterms:modified>
</cp:coreProperties>
</file>