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7C8B6525"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D750BC">
        <w:rPr>
          <w:rFonts w:ascii="Times New Roman" w:hAnsi="Times New Roman" w:cs="Times New Roman"/>
        </w:rPr>
        <w:t>support</w:t>
      </w:r>
      <w:r w:rsidR="00235F87" w:rsidRPr="003511CA">
        <w:rPr>
          <w:rFonts w:ascii="Times New Roman" w:hAnsi="Times New Roman" w:cs="Times New Roman"/>
        </w:rPr>
        <w:t xml:space="preserve"> countless human populations and their economies</w:t>
      </w:r>
      <w:r w:rsidR="00035CB5" w:rsidRPr="003511CA">
        <w:rPr>
          <w:rFonts w:ascii="Times New Roman" w:hAnsi="Times New Roman" w:cs="Times New Roman"/>
        </w:rPr>
        <w:t xml:space="preserve"> </w:t>
      </w:r>
      <w:r w:rsidR="00235F87"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 xml:space="preserve">. Of particular concern are the commercial fisheries that have been in decline since the 1940s, </w:t>
      </w:r>
      <w:r w:rsidR="00035CB5" w:rsidRPr="003511CA">
        <w:rPr>
          <w:rFonts w:ascii="Times New Roman" w:hAnsi="Times New Roman" w:cs="Times New Roman"/>
        </w:rPr>
        <w:t>which</w:t>
      </w:r>
      <w:r w:rsidR="00235F87" w:rsidRPr="003511CA">
        <w:rPr>
          <w:rFonts w:ascii="Times New Roman" w:hAnsi="Times New Roman" w:cs="Times New Roman"/>
        </w:rPr>
        <w:t xml:space="preserve"> </w:t>
      </w:r>
      <w:r w:rsidR="00674689" w:rsidRPr="003511CA">
        <w:rPr>
          <w:rFonts w:ascii="Times New Roman" w:hAnsi="Times New Roman" w:cs="Times New Roman"/>
        </w:rPr>
        <w:t>have</w:t>
      </w:r>
      <w:r w:rsidR="00035CB5" w:rsidRPr="003511CA">
        <w:rPr>
          <w:rFonts w:ascii="Times New Roman" w:hAnsi="Times New Roman" w:cs="Times New Roman"/>
        </w:rPr>
        <w:t xml:space="preserve"> </w:t>
      </w:r>
      <w:r w:rsidR="00235F87" w:rsidRPr="003511CA">
        <w:rPr>
          <w:rFonts w:ascii="Times New Roman" w:hAnsi="Times New Roman" w:cs="Times New Roman"/>
        </w:rPr>
        <w:t>be</w:t>
      </w:r>
      <w:r w:rsidR="00035CB5" w:rsidRPr="003511CA">
        <w:rPr>
          <w:rFonts w:ascii="Times New Roman" w:hAnsi="Times New Roman" w:cs="Times New Roman"/>
        </w:rPr>
        <w:t>en</w:t>
      </w:r>
      <w:r w:rsidR="00235F87" w:rsidRPr="003511CA">
        <w:rPr>
          <w:rFonts w:ascii="Times New Roman" w:hAnsi="Times New Roman" w:cs="Times New Roman"/>
        </w:rPr>
        <w:t xml:space="preserve"> attributed to overfishing, invasive species, chemical pollution, and declining nutrient levels </w:t>
      </w:r>
      <w:r w:rsidR="00235F87"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wMsHLzox","properties":{"formattedCitation":"[2]","plainCitation":"[2]","noteIndex":0},"citationItems":[{"id":988,"uris":["http://zotero.org/users/local/243Lnhj0/items/RWTGQ4JS","http://zotero.org/users/15112760/items/RWTGQ4JS"],"itemData":{"id":988,"type":"article-journal","abstract":"The commercial fisheries of the United States and Canadian Great Lakes are in a long period of decline. Detailed statistics kept for well over a century document a fluctuating pattern of harvests of the major commercial species. In the 1940s, sea lamprey began to devastate the fisheries, an effect that has not been fully countered. Overfishing, nonnative species, declining nutrient levels, and chemical pollution have contributed to reduced catches. Court decisions in the United States and Canada during the past thirty years have awarded a sizable share of commercial fishing rights to Native North Americans for their own support and sustenance. The Lake Erie yellow perch and walleye fishery, based mainly in Ontario, is the most successful commercial fishing operation in the region. Despite the many environmental and cultural challenges, the Great Lakes fisheries live on.","container-title":"Geographical Review","DOI":"10.1111/j.1931-0846.2014.12041.x","ISSN":"0016-7428","issue":"4","note":"publisher: Routledge\n_eprint: https://doi.org/10.1111/j.1931-0846.2014.12041.x","page":"391-413","source":"Taylor and Francis+NEJM","title":"Environment, Culture, and The Great Lakes Fisheries*","volume":"104","author":[{"family":"Hudson","given":"John C."},{"family":"Ziegler","given":"Susy S."}],"issued":{"date-parts":[["2014",10,1]]}}}],"schema":"https://github.com/citation-style-language/schema/raw/master/csl-citation.json"}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[2]</w:t>
      </w:r>
      <w:r w:rsidR="00235F87" w:rsidRPr="003511CA">
        <w:rPr>
          <w:rFonts w:ascii="Times New Roman" w:hAnsi="Times New Roman" w:cs="Times New Roman"/>
        </w:rPr>
        <w:fldChar w:fldCharType="end"/>
      </w:r>
      <w:r w:rsidR="00235F87" w:rsidRPr="003511CA">
        <w:rPr>
          <w:rFonts w:ascii="Times New Roman" w:hAnsi="Times New Roman" w:cs="Times New Roman"/>
        </w:rPr>
        <w:t xml:space="preserve">. Much of what we know about </w:t>
      </w:r>
      <w:r w:rsidR="00674689" w:rsidRPr="003511CA">
        <w:rPr>
          <w:rFonts w:ascii="Times New Roman" w:hAnsi="Times New Roman" w:cs="Times New Roman"/>
        </w:rPr>
        <w:t>nutrient</w:t>
      </w:r>
      <w:r w:rsidR="00035CB5" w:rsidRPr="003511CA">
        <w:rPr>
          <w:rFonts w:ascii="Times New Roman" w:hAnsi="Times New Roman" w:cs="Times New Roman"/>
        </w:rPr>
        <w:t xml:space="preserve"> levels and cycling</w:t>
      </w:r>
      <w:r w:rsidR="00235F87" w:rsidRPr="003511CA">
        <w:rPr>
          <w:rFonts w:ascii="Times New Roman" w:hAnsi="Times New Roman" w:cs="Times New Roman"/>
        </w:rPr>
        <w:t xml:space="preserve"> in </w:t>
      </w:r>
      <w:r w:rsidR="00674689" w:rsidRPr="003511CA">
        <w:rPr>
          <w:rFonts w:ascii="Times New Roman" w:hAnsi="Times New Roman" w:cs="Times New Roman"/>
        </w:rPr>
        <w:t>the</w:t>
      </w:r>
      <w:r w:rsidR="00235F87" w:rsidRPr="003511CA">
        <w:rPr>
          <w:rFonts w:ascii="Times New Roman" w:hAnsi="Times New Roman" w:cs="Times New Roman"/>
        </w:rPr>
        <w:t xml:space="preserve"> Great Lakes is limited to spring and summer, with few </w:t>
      </w:r>
      <w:r w:rsidR="00235F87" w:rsidRPr="003511CA">
        <w:rPr>
          <w:rFonts w:ascii="Times New Roman" w:hAnsi="Times New Roman" w:cs="Times New Roman"/>
          <w:i/>
          <w:iCs/>
        </w:rPr>
        <w:t>in situ</w:t>
      </w:r>
      <w:r w:rsidR="00235F87" w:rsidRPr="003511CA">
        <w:rPr>
          <w:rFonts w:ascii="Times New Roman" w:hAnsi="Times New Roman" w:cs="Times New Roman"/>
        </w:rPr>
        <w:t xml:space="preserve"> Great Lakes studies representing winter processes</w:t>
      </w:r>
      <w:r w:rsidR="004B75D6" w:rsidRPr="003511CA">
        <w:rPr>
          <w:rFonts w:ascii="Times New Roman" w:hAnsi="Times New Roman" w:cs="Times New Roman"/>
        </w:rPr>
        <w:t xml:space="preserve"> </w:t>
      </w:r>
      <w:r w:rsidR="004B75D6"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BMDPqTmI","properties":{"formattedCitation":"[3]","plainCitation":"[3]","noteIndex":0},"citationItems":[{"id":978,"uris":["http://zotero.org/users/local/243Lnhj0/items/RRZBGWVY","http://zotero.org/users/15112760/items/RRZBGWVY"],"itemData":{"id":978,"type":"article-journal","abstract":"Interest in winter limnology is growing rapidly, but progress is hindered by a shortage of standardized multivariate datasets on winter conditions. Addressing the winter data gap will enhance our understanding of winter ecosystem function and of lake response to environmental change. Here, we describe a dataset generated by a multi-institutional winter sampling campaign across all five Laurentian Great Lakes and some of their connecting waters (the Great Lakes Winter Grab). The objective of Winter Grab was to characterize mid-winter limnological conditions in the Great Lakes using standard sample collection and analysis methods. Nineteen research groups sampled 49 locations varying widely in depth and trophic status, collecting a range of limnological data. This dataset includes physical, chemical, and biological measurements. These data can be used to examine diverse aspects of Great Lakes ecosystems or integrated with winter observations from other lakes to improve understanding of winter limnology across different aquatic systems.","container-title":"Limnology and Oceanography Letters","DOI":"10.1002/lol2.10447","ISSN":"2378-2242","issue":"1","language":"en","license":"© 2024 The Author(s). Limnology and Oceanography Letters published by Wiley Periodicals LLC on behalf of Association for the Sciences of Limnology and Oceanography.","note":"_eprint: https://aslopubs.onlinelibrary.wiley.com/doi/pdf/10.1002/lol2.10447","page":"37-61","source":"Wiley Online Library","title":"The Great Lakes Winter Grab: Limnological data from a multi-institutional winter sampling campaign on the Laurentian Great Lakes","title-short":"The Great Lakes Winter Grab","volume":"10","author":[{"family":"Pu","given":"Ge"},{"family":"Shchapov","given":"Kirill"},{"family":"Pearce","given":"Nolan J. T."},{"family":"Bowen","given":"Kelly"},{"family":"Bramburger","given":"Andrew"},{"family":"Camilleri","given":"Andrew"},{"family":"Carrick","given":"Hunter"},{"family":"Chaffin","given":"Justin D."},{"family":"Cody","given":"William"},{"family":"Coleman","given":"Maureen L."},{"family":"Currie","given":"Warren J. S."},{"family":"Depew","given":"David C."},{"family":"Doubek","given":"Jonathan P."},{"family":"Eveleth","given":"Rachel"},{"family":"Fitzpatrick","given":"Mark"},{"family":"Glyshaw","given":"Paul W."},{"family":"Godwin","given":"Casey M."},{"family":"McKay","given":"R. Michael"},{"family":"Munawar","given":"Mohiuddin"},{"family":"Niblock","given":"Heather"},{"family":"Quintanilla","given":"Maci"},{"family":"Rennie","given":"Michael"},{"family":"Sand","given":"Matthew W."},{"family":"Schraitle","given":"Kimberly J."},{"family":"Twiss","given":"Michael R."},{"family":"Uzarski","given":"Donald G."},{"family":"Vanderploeg","given":"Henry A."},{"family":"Vick-Majors","given":"Trista J."},{"family":"Westrick","given":"Judy A."},{"family":"Wheelock","given":"Bridget A."},{"family":"Xenopoulos","given":"Marguerite A."},{"family":"Zastepa","given":"Arthur"},{"family":"Ozersky","given":"Ted"}],"issued":{"date-parts":[["2025"]]}}}],"schema":"https://github.com/citation-style-language/schema/raw/master/csl-citation.json"} </w:instrText>
      </w:r>
      <w:r w:rsidR="004B75D6" w:rsidRPr="003511CA">
        <w:rPr>
          <w:rFonts w:ascii="Times New Roman" w:hAnsi="Times New Roman" w:cs="Times New Roman"/>
        </w:rPr>
        <w:fldChar w:fldCharType="separate"/>
      </w:r>
      <w:r w:rsidR="009A2F48" w:rsidRPr="009A2F48">
        <w:rPr>
          <w:rFonts w:ascii="Times New Roman" w:hAnsi="Times New Roman" w:cs="Times New Roman"/>
        </w:rPr>
        <w:t>[3]</w:t>
      </w:r>
      <w:r w:rsidR="004B75D6" w:rsidRPr="003511CA">
        <w:rPr>
          <w:rFonts w:ascii="Times New Roman" w:hAnsi="Times New Roman" w:cs="Times New Roman"/>
        </w:rPr>
        <w:fldChar w:fldCharType="end"/>
      </w:r>
      <w:r w:rsidR="00235F87" w:rsidRPr="003511CA">
        <w:rPr>
          <w:rFonts w:ascii="Times New Roman" w:hAnsi="Times New Roman" w:cs="Times New Roman"/>
        </w:rPr>
        <w:t xml:space="preserve">. </w:t>
      </w:r>
      <w:r w:rsidR="00035CB5" w:rsidRPr="003511CA">
        <w:rPr>
          <w:rFonts w:ascii="Times New Roman" w:hAnsi="Times New Roman" w:cs="Times New Roman"/>
        </w:rPr>
        <w:t xml:space="preserve">Recent work has brought to light the vital role that winter ecological and biogeochemical processes play in </w:t>
      </w:r>
      <w:r w:rsidR="00674689" w:rsidRPr="003511CA">
        <w:rPr>
          <w:rFonts w:ascii="Times New Roman" w:hAnsi="Times New Roman" w:cs="Times New Roman"/>
        </w:rPr>
        <w:t>year-round</w:t>
      </w:r>
      <w:r w:rsidR="00035CB5" w:rsidRPr="003511CA">
        <w:rPr>
          <w:rFonts w:ascii="Times New Roman" w:hAnsi="Times New Roman" w:cs="Times New Roman"/>
        </w:rPr>
        <w:t xml:space="preserve"> conditions, with impacts that are felt in the subsequent spring and summer </w:t>
      </w:r>
      <w:r w:rsidR="00035CB5"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{"citationID":"uwvm7PXR","properties":{"formattedCitation":"[4], [5], [6], [7]","plainCitation":"[4], [5], [6], [7]","noteIndex":0},"citationItems":[{"id":984,"uris":["http://zotero.org/users/local/243Lnhj0/items/C2GNQ8S9","http://zotero.org/users/15112760/items/C2GNQ8S9"],"itemData":{"id":984,"type":"article-journal","abstract":"Winter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A."}],"issued":{"date-parts":[["2017"]]}},"label":"page"},{"id":979,"uris":["http://zotero.org/users/local/243Lnhj0/items/VYEPSZ9I","http://zotero.org/users/15112760/items/VYEPSZ9I"],"itemData":{"id":979,"type":"article-journal","abstract":"How climate change will affect the community dynamics and functionality of lake ecosystems during winter is still little understood. This is also true for phytoplankton in seasonally ice-covered temperate lakes which are particularly vulnerable to the presence or absence of ice. We examined changes in pelagic phytoplankton winter community structure in a north temperate lake (Müggelsee, Germany), covering 18 winters between 1995 and 2013. We tested how phytoplankton taxa composition varied along a winter-severity gradient and to what extent winter severity shaped the functional trait composition of overwintering phytoplankton communities using multivariate statistical analyses and a functional trait-based approach. We hypothesized that overwintering phytoplankton communities are dominated by taxa with trait combinations corresponding to the prevailing winter water column conditions, using ice thickness measurements as a winter-severity indicator. Winter severity had little effect on univariate diversity indicators (taxon richness and evenness), but a strong relationship was found between the phytoplankton community structure and winter severity when taxon trait identity was taken into account. Species responses to winter severity were mediated by the key functional traits: motility, nutritional mode, and the ability to form resting stages. Accordingly, one or the other of two functional groups dominated the phytoplankton biomass during mild winters (i.e., thin or no ice cover; phototrophic taxa) or severe winters (i.e., thick ice cover; exclusively motile taxa). Based on predicted milder winters for temperate regions and a reduction in ice-cover durations, phytoplankton communities during winter can be expected to comprise taxa that have a relative advantage when the water column is well mixed (i.e., need not be motile) and light is less limiting (i.e., need not be mixotrophic). A potential implication of this result is that winter severity promotes different communities at the vernal equinox, which may have different nutritional quality for the next trophic level and ecosystem-scale effects.","container-title":"Global Change Biology","DOI":"10.1111/gcb.13085","ISSN":"1365-2486","issue":"1","language":"en","license":"© 2015 John Wiley &amp; Sons Ltd","note":"_eprint: https://onlinelibrary.wiley.com/doi/pdf/10.1111/gcb.13085","page":"284-298","source":"Wiley Online Library","title":"Winter severity determines functional trait composition of phytoplankton in seasonally ice-covered lakes","volume":"22","author":[{"family":"Özkundakci","given":"Deniz"},{"family":"Gsell","given":"Alena S."},{"family":"Hintze","given":"Thomas"},{"family":"Täuscher","given":"Helgard"},{"family":"Adrian","given":"Rita"}],"issued":{"date-parts":[["2016"]]}},"label":"page"},{"id":983,"uris":["http://zotero.org/users/local/243Lnhj0/items/QENHRSEC","http://zotero.org/users/15112760/items/QENHRSEC"],"itemData":{"id":983,"type":"article-journal","abstract":"The seasonal succession of plankton is an annually repeated process of community assembly during which all major external factors and internal interactions shaping communities can be studied. A quarter of a century ago, the state of this understanding was described by the verbal plankton ecology group (PEG) model. It emphasized the role of physical factors, grazing and nutrient limitation for phytoplankton, and the role of food limitation and fish predation for zooplankton. Although originally targeted at lake ecosystems, it was also adopted by marine plankton ecologists. Since then, a suite of ecological interactions previously underestimated in importance have become research foci: overwintering of key organisms, the microbial food web, parasitism, and food quality as a limiting factor and an extended role of higher order predators. A review of the impact of these novel interactions on plankton seasonal succession reveals limited effects on gross seasonal biomass patterns, but strong effects on species replacements.","container-title":"Annual Review of Ecology, Evolution, and Systematics","DOI":"10.1146/annurev-ecolsys-110411-160251","ISSN":"1543-592X, 1545-2069","issue":"Volume 43, 2012","language":"en","note":"publisher: Annual Reviews","page":"429-448","source":"www.annualreviews.org","title":"Beyond the Plankton Ecology Group (PEG) Model: Mechanisms Driving Plankton Succession","title-short":"Beyond the Plankton Ecology Group (PEG) Model","volume":"43","author":[{"family":"Sommer","given":"Ulrich"},{"family":"Adrian","given":"Rita"},{"family":"Domis","given":"Lisette De Senerpont"},{"family":"Elser","given":"James J."},{"family":"Gaedke","given":"Ursula"},{"family":"Ibelings","given":"Bas"},{"family":"Jeppesen","given":"Erik"},{"family":"Lürling","given":"Miquel"},{"family":"Molinero","given":"Juan Carlos"},{"family":"Mooij","given":"Wolf M."},{"family":"Donk","given":"Ellen","dropping-particle":"van"},{"family":"Winder","given":"Monika"}],"issued":{"date-parts":[["2012",12,1]]}},"label":"page"},{"id":980,"uris":["http://zotero.org/users/local/243Lnhj0/items/L3U427G8","http://zotero.org/users/15112760/items/L3U427G8"],"itemData":{"id":980,"type":"article-journal","abstract":"Lake ice is an essential and integral part of the cryosphere and freshwater systems. The formation of lake ice affects the physical, hydrological, and biological conditions of ecological systems. Global warming may contribute to even shorter periods of ice cover in the lakes of the Frigid Zone, which adversely affects the growth of phytoplankton and primary productivity. This study was conducted for the purpose of evaluating the growth of phytoplankton and factors involved, in 28 ice-covered lakes across the Songnen Plain, in the Northeast of China, to understand how they take part in the whole-ecosystem functioning. A total of 1026 water samples were collected in April, September, and January during the period 2014–2018. In the frozen period, the concentration levels of dissolved organic carbon (DOC), total nitrogen (TN), and total phosphorus (TP) were all comparable with the spring and autumn. Despite the limited light availability and low temperature, the phytoplankton survived in sub-ice waters during winter with a low concentration of chlorophyll a (Chla). Its average concentration was positively correlated with the concentration observed in the previous autumn (rp = 0.563, p &lt; 0.01). According to the regression tree analysis, during the winter period, Chla was mainly related to the concentration of TN in sub-ice water (TNwater) and with the difference of concentration of TP between water and ice (TPcd). Furthermore, either in ice or in sub-ice water, the concentration of Chla was also significantly affected by total suspended matter (TSM) (p &lt; 0.05). The levels of TNwater, TPcd, and TSM could explain the 77.8% of the variance in the concentration of Chla during winter with contributions in the ranges of 25.5%–35.0%, 9.2%–11.3%, and 21.5%–34.0%, respectively (p &lt; 0.05). This research substantially contributes to comprehending how the existing conditions under-ice affect the whole ecosystem when the ice cover is reduced lakes or rivers.","container-title":"Journal of Environmental Management","DOI":"10.1016/j.jenvman.2020.111338","ISSN":"0301-4797","journalAbbreviation":"Journal of Environmental Management","page":"111338","source":"ScienceDirect","title":"Variability of chlorophyll and the influence factors during winter in seasonally ice-covered lakes","volume":"276","author":[{"family":"Wen","given":"Zhidan"},{"family":"Song","given":"Kaishan"},{"family":"Shang","given":"Yingxin"},{"family":"Lyu","given":"Lili"},{"family":"Yang","given":"Qian"},{"family":"Fang","given":"Chong"},{"family":"Du","given":"Jia"},{"family":"Li","given":"Sijia"},{"family":"Liu","given":"Ge"},{"family":"Zhang","given":"Baohua"},{"family":"Cheng","given":"Shuai"}],"issued":{"date-parts":[["2020",12,15]]}},"label":"page"}],"schema":"https://github.com/citation-style-language/schema/raw/master/csl-citation.json"} </w:instrText>
      </w:r>
      <w:r w:rsidR="00035CB5" w:rsidRPr="003511CA">
        <w:rPr>
          <w:rFonts w:ascii="Times New Roman" w:hAnsi="Times New Roman" w:cs="Times New Roman"/>
        </w:rPr>
        <w:fldChar w:fldCharType="separate"/>
      </w:r>
      <w:r w:rsidR="009A2F48" w:rsidRPr="009A2F48">
        <w:rPr>
          <w:rFonts w:ascii="Times New Roman" w:hAnsi="Times New Roman" w:cs="Times New Roman"/>
        </w:rPr>
        <w:t>[4], [5], [6], [7]</w:t>
      </w:r>
      <w:r w:rsidR="00035CB5" w:rsidRPr="003511CA">
        <w:rPr>
          <w:rFonts w:ascii="Times New Roman" w:hAnsi="Times New Roman" w:cs="Times New Roman"/>
        </w:rPr>
        <w:fldChar w:fldCharType="end"/>
      </w:r>
      <w:r w:rsidR="00745C3B" w:rsidRPr="003511CA">
        <w:rPr>
          <w:rFonts w:ascii="Times New Roman" w:hAnsi="Times New Roman" w:cs="Times New Roman"/>
        </w:rPr>
        <w:t>.</w:t>
      </w:r>
      <w:r w:rsidR="008340F5" w:rsidRPr="003511CA">
        <w:rPr>
          <w:rFonts w:ascii="Times New Roman" w:hAnsi="Times New Roman" w:cs="Times New Roman"/>
        </w:rPr>
        <w:t xml:space="preserve"> </w:t>
      </w:r>
      <w:r w:rsidR="00683FFD" w:rsidRPr="003511CA">
        <w:rPr>
          <w:rFonts w:ascii="Times New Roman" w:hAnsi="Times New Roman" w:cs="Times New Roman"/>
        </w:rPr>
        <w:t>Changing winter conditions can upset normal lake processes</w:t>
      </w:r>
      <w:r w:rsidR="00BB792E" w:rsidRPr="003511CA">
        <w:rPr>
          <w:rFonts w:ascii="Times New Roman" w:hAnsi="Times New Roman" w:cs="Times New Roman"/>
        </w:rPr>
        <w:t xml:space="preserve"> and can have cascading effects on ecological and biogeochemical processe</w:t>
      </w:r>
      <w:r w:rsidR="00C953A3" w:rsidRPr="003511CA">
        <w:rPr>
          <w:rFonts w:ascii="Times New Roman" w:hAnsi="Times New Roman" w:cs="Times New Roman"/>
        </w:rPr>
        <w:t>s that can</w:t>
      </w:r>
      <w:r w:rsidR="00674689" w:rsidRPr="003511CA">
        <w:rPr>
          <w:rFonts w:ascii="Times New Roman" w:hAnsi="Times New Roman" w:cs="Times New Roman"/>
        </w:rPr>
        <w:t>,</w:t>
      </w:r>
      <w:r w:rsidR="00C953A3" w:rsidRPr="003511CA">
        <w:rPr>
          <w:rFonts w:ascii="Times New Roman" w:hAnsi="Times New Roman" w:cs="Times New Roman"/>
        </w:rPr>
        <w:t xml:space="preserve"> in turn</w:t>
      </w:r>
      <w:r w:rsidR="00674689" w:rsidRPr="003511CA">
        <w:rPr>
          <w:rFonts w:ascii="Times New Roman" w:hAnsi="Times New Roman" w:cs="Times New Roman"/>
        </w:rPr>
        <w:t>,</w:t>
      </w:r>
      <w:r w:rsidR="00C953A3" w:rsidRPr="003511CA">
        <w:rPr>
          <w:rFonts w:ascii="Times New Roman" w:hAnsi="Times New Roman" w:cs="Times New Roman"/>
        </w:rPr>
        <w:t xml:space="preserve"> threaten the Great Lakes’ </w:t>
      </w:r>
      <w:r w:rsidR="00B148F5" w:rsidRPr="003511CA">
        <w:rPr>
          <w:rFonts w:ascii="Times New Roman" w:hAnsi="Times New Roman" w:cs="Times New Roman"/>
        </w:rPr>
        <w:t xml:space="preserve">water quality and health of biological communities </w:t>
      </w:r>
      <w:r w:rsidR="00B148F5"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vXGnYCyX","properties":{"formattedCitation":"[4]","plainCitation":"[4]","noteIndex":0},"citationItems":[{"id":984,"uris":["http://zotero.org/users/local/243Lnhj0/items/C2GNQ8S9","http://zotero.org/users/15112760/items/C2GNQ8S9"],"itemData":{"id":984,"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A."}],"issued":{"date-parts":[["2017"]]}}}],"schema":"https://github.com/citation-style-language/schema/raw/master/csl-citation.json"} </w:instrText>
      </w:r>
      <w:r w:rsidR="00B148F5" w:rsidRPr="003511CA">
        <w:rPr>
          <w:rFonts w:ascii="Times New Roman" w:hAnsi="Times New Roman" w:cs="Times New Roman"/>
        </w:rPr>
        <w:fldChar w:fldCharType="separate"/>
      </w:r>
      <w:r w:rsidR="009A2F48" w:rsidRPr="009A2F48">
        <w:rPr>
          <w:rFonts w:ascii="Times New Roman" w:hAnsi="Times New Roman" w:cs="Times New Roman"/>
        </w:rPr>
        <w:t>[4]</w:t>
      </w:r>
      <w:r w:rsidR="00B148F5" w:rsidRPr="003511CA">
        <w:rPr>
          <w:rFonts w:ascii="Times New Roman" w:hAnsi="Times New Roman" w:cs="Times New Roman"/>
        </w:rPr>
        <w:fldChar w:fldCharType="end"/>
      </w:r>
      <w:r w:rsidR="00B148F5" w:rsidRPr="003511CA">
        <w:rPr>
          <w:rFonts w:ascii="Times New Roman" w:hAnsi="Times New Roman" w:cs="Times New Roman"/>
        </w:rPr>
        <w:t xml:space="preserve">. </w:t>
      </w:r>
      <w:r w:rsidR="0000289A">
        <w:rPr>
          <w:rFonts w:ascii="Times New Roman" w:hAnsi="Times New Roman" w:cs="Times New Roman"/>
        </w:rPr>
        <w:t>It is important to understand how microbial communities will react to different environmental conditions because microbes exist at the base of many food webs and are responsible for recycling nutrients and organic matter in aquatic systems (need a citation). It is because of their trophic position and integral part of biogeochemical cycling, potential changes to those communities can be felt throughout the ecosystems they reside in (need another citation here).</w:t>
      </w:r>
      <w:r w:rsidR="0000289A" w:rsidRPr="003511CA">
        <w:rPr>
          <w:rFonts w:ascii="Times New Roman" w:hAnsi="Times New Roman" w:cs="Times New Roman"/>
        </w:rPr>
        <w:t xml:space="preserve"> Microbial communities can fluctuate in their assemblages </w:t>
      </w:r>
      <w:r w:rsidR="0000289A"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{"citationID":"MUNsGrS7","properties":{"formattedCitation":"[8], [9]","plainCitation":"[8], [9]","noteIndex":0},"citationItems":[{"id":1174,"uris":["http://zotero.org/users/15112760/items/LYRMKHQC"],"itemData":{"id":1174,"type":"article-journal","abstract":"To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9A2F48" w:rsidRPr="009A2F48">
        <w:rPr>
          <w:rFonts w:ascii="Times New Roman" w:hAnsi="Times New Roman" w:cs="Times New Roman"/>
        </w:rPr>
        <w:t>[8], [9]</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their metabolism </w:t>
      </w:r>
      <w:r w:rsidR="0000289A"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{"citationID":"itD9ir3G","properties":{"formattedCitation":"[10]","plainCitation":"[10]","noteIndex":0},"citationItems":[{"id":1167,"uris":["http://zotero.org/users/15112760/items/YXQ78XJE"],"itemData":{"id":1167,"type":"webpage","title":"Global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9A2F48" w:rsidRPr="009A2F48">
        <w:rPr>
          <w:rFonts w:ascii="Times New Roman" w:hAnsi="Times New Roman" w:cs="Times New Roman"/>
        </w:rPr>
        <w:t>[10]</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{"citationID":"VUhhn3Xj","properties":{"formattedCitation":"[11]","plainCitation":"[11]","noteIndex":0},"citationItems":[{"id":1179,"uris":["http://zotero.org/users/15112760/items/4TN8TKVG"],"itemData":{"id":1179,"type":"article-journal","abstract":"Heterotrophic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9A2F48" w:rsidRPr="009A2F48">
        <w:rPr>
          <w:rFonts w:ascii="Times New Roman" w:hAnsi="Times New Roman" w:cs="Times New Roman"/>
        </w:rPr>
        <w:t>[11]</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{"citationID":"nj7Eu6qL","properties":{"formattedCitation":"[12], [13]","plainCitation":"[12], [13]","noteIndex":0},"citationItems":[{"id":971,"uris":["http://zotero.org/users/15112760/items/LHKP2VUF"],"itemData":{"id":971,"type":"article-journal","abstract":"Although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9A2F48" w:rsidRPr="009A2F48">
        <w:rPr>
          <w:rFonts w:ascii="Times New Roman" w:hAnsi="Times New Roman" w:cs="Times New Roman"/>
        </w:rPr>
        <w:t>[12], [13]</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as temperature, dissolved organic matter (DOM), and nutrient availability. </w:t>
      </w:r>
      <w:r w:rsidR="0000289A">
        <w:rPr>
          <w:rFonts w:ascii="Times New Roman" w:hAnsi="Times New Roman" w:cs="Times New Roman"/>
        </w:rPr>
        <w:t>Globally, DOM inputs into northern lakes have increased, and the consequences are relatively unknown</w:t>
      </w:r>
      <w:r w:rsidR="001B09F5">
        <w:rPr>
          <w:rFonts w:ascii="Times New Roman" w:hAnsi="Times New Roman" w:cs="Times New Roman"/>
        </w:rPr>
        <w:t xml:space="preserve"> </w:t>
      </w:r>
      <w:r w:rsidR="0000289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{"citationID":"RKAihGgD","properties":{"formattedCitation":"[14]","plainCitation":"[14]","noteIndex":0},"citationItems":[{"id":977,"uris":["http://zotero.org/users/15112760/items/DKGKT7QI"],"itemData":{"id":977,"type":"webpage","container-title":"Google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00289A">
        <w:rPr>
          <w:rFonts w:ascii="Times New Roman" w:hAnsi="Times New Roman" w:cs="Times New Roman"/>
        </w:rPr>
        <w:fldChar w:fldCharType="separate"/>
      </w:r>
      <w:r w:rsidR="009A2F48" w:rsidRPr="009A2F48">
        <w:rPr>
          <w:rFonts w:ascii="Times New Roman" w:hAnsi="Times New Roman" w:cs="Times New Roman"/>
        </w:rPr>
        <w:t>[14]</w:t>
      </w:r>
      <w:r w:rsidR="0000289A">
        <w:rPr>
          <w:rFonts w:ascii="Times New Roman" w:hAnsi="Times New Roman" w:cs="Times New Roman"/>
        </w:rPr>
        <w:fldChar w:fldCharType="end"/>
      </w:r>
      <w:r w:rsidR="0000289A">
        <w:rPr>
          <w:rFonts w:ascii="Times New Roman" w:hAnsi="Times New Roman" w:cs="Times New Roman"/>
        </w:rPr>
        <w:t xml:space="preserve">. The current evidence shows that increased DOM inputs are expected to change the availability of macronutrients (C, N, P) and several micronutrients (Fe, Mn, etc.) </w:t>
      </w:r>
      <w:r w:rsidR="0000289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{"citationID":"HahlzZuf","properties":{"formattedCitation":"[15]","plainCitation":"[15]","noteIndex":0},"citationItems":[{"id":1190,"uris":["http://zotero.org/users/15112760/items/BUWY8VKH"],"itemData":{"id":1190,"type":"webpage","title":"A test of the subsidy–stability hypothesis: the effects of terrestrial carbon in aquatic ecosystems - Jones - 2015 - Ecology - Wiley Online Library","URL":"https://esajournals.onlinelibrary.wiley.com/doi/10.1890/14-1783.1","accessed":{"date-parts":[["2025",7,14]]}}}],"schema":"https://github.com/citation-style-language/schema/raw/master/csl-citation.json"} </w:instrText>
      </w:r>
      <w:r w:rsidR="0000289A">
        <w:rPr>
          <w:rFonts w:ascii="Times New Roman" w:hAnsi="Times New Roman" w:cs="Times New Roman"/>
        </w:rPr>
        <w:fldChar w:fldCharType="separate"/>
      </w:r>
      <w:r w:rsidR="009A2F48" w:rsidRPr="009A2F48">
        <w:rPr>
          <w:rFonts w:ascii="Times New Roman" w:hAnsi="Times New Roman" w:cs="Times New Roman"/>
        </w:rPr>
        <w:t>[15]</w:t>
      </w:r>
      <w:r w:rsidR="0000289A">
        <w:rPr>
          <w:rFonts w:ascii="Times New Roman" w:hAnsi="Times New Roman" w:cs="Times New Roman"/>
        </w:rPr>
        <w:fldChar w:fldCharType="end"/>
      </w:r>
      <w:r w:rsidR="0000289A">
        <w:rPr>
          <w:rFonts w:ascii="Times New Roman" w:hAnsi="Times New Roman" w:cs="Times New Roman"/>
        </w:rPr>
        <w:t xml:space="preserve">, which in turn influence the stoichiometry of biological communities such as phytoplankton and bacteria. Additionally, the stoichiometry of bacterial communities has also been shown to be coupled with temperature </w:t>
      </w:r>
      <w:r w:rsidR="0000289A">
        <w:rPr>
          <w:rFonts w:ascii="Times New Roman" w:hAnsi="Times New Roman" w:cs="Times New Roman"/>
        </w:rPr>
        <w:fldChar w:fldCharType="begin"/>
      </w:r>
      <w:r w:rsidR="009A2F48">
        <w:rPr>
          <w:rFonts w:ascii="Times New Roman" w:hAnsi="Times New Roman" w:cs="Times New Roman"/>
        </w:rPr>
        <w:instrText xml:space="preserve"> ADDIN ZOTERO_ITEM CSL_CITATION {"citationID":"rO5Ey1Eq","properties":{"formattedCitation":"[16]","plainCitation":"[16]","noteIndex":0},"citationItems":[{"id":1181,"uris":["http://zotero.org/users/15112760/items/SIRE5C5L"],"itemData":{"id":1181,"type":"article-journal","abstract":"Two contemporary effects of humans on aquatic ecosystems are increasing temperatures and increasing nutrient concentrations from fertilizers. The response of organisms to these perturbations has important implications for ecosystem processes. We examined the effects of phosphorus (P) supply and temperature on organismal carbon, nitrogen and phosphorus (C, N and P) content, cell size and allocation into internal P pools in three strains of recently isolated bacteria (Agrobacterium sp., Flavobacterium sp., and Arthrobacter sp.). We manipulated resource C:P in chemostats and also manipulated temperatures from 10 to 30ºC. Dilution rates were maintained for all the strains at approximately 25% of their temperature-specific maximum growth rate to simulate low growth rates in natural systems. Under these conditions, there were large effects of resource stoichiometry and temperature on biomass stoichiometry, element quotas, and cell size. Each strain was smaller when C-limited and larger when P-limited. Temperature had weak effects on morphology, little effect on C quotas, no effect on N quotas, and biomass C:N, but had strong effects on P quotas, biomass N:P and C:P, and RNA. RNA content per cell increased with increasing temperature at most C:P supply ratios, but was more strongly affected by resource stoichiometry than temperature. Because we used a uniform relative growth rate across temperatures, these findings mean that there are important nutrient and temperature affects on biomass composition and stoichiometry that are independent of growth rate. Changes in biomass stoichiometry with temperature were greatest at low P availability, suggesting tighter coupling between temperature and biomass stoichiometry in oligotrophic ecosystems than in eutrophic systems. Because the C:P stoichiometry of biomass affects how bacteria assimilate and remineralize C, increased P availability could disrupt a negative feedback between biomass stoichiometry and C availability.","container-title":"Frontiers in Microbiology","DOI":"10.3389/fmicb.2017.01692","ISSN":"1664-302X","journalAbbreviation":"Front. Microbiol.","language":"English","note":"publisher: Frontiers","source":"Frontiers","title":"The Effects of Nutrient Imbalances and Temperature on the Biomass Stoichiometry of Freshwater Bacteria","URL":"https://www.frontiersin.org/journals/microbiology/articles/10.3389/fmicb.2017.01692/full","volume":"8","author":[{"family":"Phillips","given":"Katherine N."},{"family":"Godwin","given":"Casey M."},{"family":"Cotner","given":"James B."}],"accessed":{"date-parts":[["2025",7,14]]},"issued":{"date-parts":[["2017",9,8]]}}}],"schema":"https://github.com/citation-style-language/schema/raw/master/csl-citation.json"} </w:instrText>
      </w:r>
      <w:r w:rsidR="0000289A">
        <w:rPr>
          <w:rFonts w:ascii="Times New Roman" w:hAnsi="Times New Roman" w:cs="Times New Roman"/>
        </w:rPr>
        <w:fldChar w:fldCharType="separate"/>
      </w:r>
      <w:r w:rsidR="009A2F48" w:rsidRPr="009A2F48">
        <w:rPr>
          <w:rFonts w:ascii="Times New Roman" w:hAnsi="Times New Roman" w:cs="Times New Roman"/>
        </w:rPr>
        <w:t>[16]</w:t>
      </w:r>
      <w:r w:rsidR="0000289A">
        <w:rPr>
          <w:rFonts w:ascii="Times New Roman" w:hAnsi="Times New Roman" w:cs="Times New Roman"/>
        </w:rPr>
        <w:fldChar w:fldCharType="end"/>
      </w:r>
      <w:r w:rsidR="0000289A">
        <w:rPr>
          <w:rFonts w:ascii="Times New Roman" w:hAnsi="Times New Roman" w:cs="Times New Roman"/>
        </w:rPr>
        <w:t>. The interplay between annual variation in winter variables (such as ice cover and water temperature), seasonal variation, and increased DOM inputs is not well understood, and we hope to provide additional insight with our research.</w:t>
      </w:r>
      <w:r w:rsidR="009B3C7A">
        <w:rPr>
          <w:rFonts w:ascii="Times New Roman" w:hAnsi="Times New Roman" w:cs="Times New Roman"/>
        </w:rPr>
        <w:t>W</w:t>
      </w:r>
      <w:r w:rsidR="00A00135" w:rsidRPr="003511CA">
        <w:rPr>
          <w:rFonts w:ascii="Times New Roman" w:hAnsi="Times New Roman" w:cs="Times New Roman"/>
        </w:rPr>
        <w:t xml:space="preserve">inter is an integral component of annual limnological processes, the better we will be able to </w:t>
      </w:r>
      <w:r w:rsidR="00BB3BFD" w:rsidRPr="003511CA">
        <w:rPr>
          <w:rFonts w:ascii="Times New Roman" w:hAnsi="Times New Roman" w:cs="Times New Roman"/>
        </w:rPr>
        <w:t>apply effective measures</w:t>
      </w:r>
      <w:r w:rsidR="005A57C2" w:rsidRPr="003511CA">
        <w:rPr>
          <w:rFonts w:ascii="Times New Roman" w:hAnsi="Times New Roman" w:cs="Times New Roman"/>
        </w:rPr>
        <w:t xml:space="preserve"> to </w:t>
      </w:r>
      <w:r w:rsidR="009B3C7A">
        <w:rPr>
          <w:rFonts w:ascii="Times New Roman" w:hAnsi="Times New Roman" w:cs="Times New Roman"/>
        </w:rPr>
        <w:t>manage</w:t>
      </w:r>
      <w:r w:rsidR="005A57C2" w:rsidRPr="003511CA">
        <w:rPr>
          <w:rFonts w:ascii="Times New Roman" w:hAnsi="Times New Roman" w:cs="Times New Roman"/>
        </w:rPr>
        <w:t xml:space="preserve"> </w:t>
      </w:r>
      <w:r w:rsidR="00674689" w:rsidRPr="003511CA">
        <w:rPr>
          <w:rFonts w:ascii="Times New Roman" w:hAnsi="Times New Roman" w:cs="Times New Roman"/>
        </w:rPr>
        <w:t>the</w:t>
      </w:r>
      <w:r w:rsidR="005A57C2" w:rsidRPr="003511CA">
        <w:rPr>
          <w:rFonts w:ascii="Times New Roman" w:hAnsi="Times New Roman" w:cs="Times New Roman"/>
        </w:rPr>
        <w:t xml:space="preserve"> Great Lakes and </w:t>
      </w:r>
      <w:r w:rsidR="009B3C7A">
        <w:rPr>
          <w:rFonts w:ascii="Times New Roman" w:hAnsi="Times New Roman" w:cs="Times New Roman"/>
        </w:rPr>
        <w:t>maintain</w:t>
      </w:r>
      <w:r w:rsidR="00082036">
        <w:rPr>
          <w:rFonts w:ascii="Times New Roman" w:hAnsi="Times New Roman" w:cs="Times New Roman"/>
        </w:rPr>
        <w:t xml:space="preserve"> healthy </w:t>
      </w:r>
    </w:p>
    <w:p w14:paraId="4D56D003" w14:textId="0C8314F9" w:rsidR="008B4BC9"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my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investigate </w:t>
      </w:r>
      <w:r w:rsidR="00B155BE" w:rsidRPr="003511CA">
        <w:rPr>
          <w:rFonts w:ascii="Times New Roman" w:hAnsi="Times New Roman" w:cs="Times New Roman"/>
        </w:rPr>
        <w:t xml:space="preserve">how seasonality </w:t>
      </w:r>
      <w:r w:rsidR="00A779F7" w:rsidRPr="003511CA">
        <w:rPr>
          <w:rFonts w:ascii="Times New Roman" w:hAnsi="Times New Roman" w:cs="Times New Roman"/>
        </w:rPr>
        <w:t xml:space="preserve">impacts </w:t>
      </w:r>
      <w:r w:rsidR="0004003A" w:rsidRPr="003511CA">
        <w:rPr>
          <w:rFonts w:ascii="Times New Roman" w:hAnsi="Times New Roman" w:cs="Times New Roman"/>
        </w:rPr>
        <w:t xml:space="preserve">microbial communities, with an emphasis on </w:t>
      </w:r>
      <w:r w:rsidR="00D93858" w:rsidRPr="003511CA">
        <w:rPr>
          <w:rFonts w:ascii="Times New Roman" w:hAnsi="Times New Roman" w:cs="Times New Roman"/>
        </w:rPr>
        <w:t>the transition from winter to spring.</w:t>
      </w:r>
      <w:r w:rsidR="00B91515">
        <w:rPr>
          <w:rFonts w:ascii="Times New Roman" w:hAnsi="Times New Roman" w:cs="Times New Roman"/>
        </w:rPr>
        <w:t xml:space="preserve">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to changes in particulate organic matter</w:t>
      </w:r>
      <w:r w:rsidR="000C678C">
        <w:rPr>
          <w:rFonts w:ascii="Times New Roman" w:hAnsi="Times New Roman" w:cs="Times New Roman"/>
        </w:rPr>
        <w:t xml:space="preserve"> in conjunction with seasonal changes in temperature</w:t>
      </w:r>
      <w:r w:rsidR="008B73C6">
        <w:rPr>
          <w:rFonts w:ascii="Times New Roman" w:hAnsi="Times New Roman" w:cs="Times New Roman"/>
        </w:rPr>
        <w:t xml:space="preserve"> </w:t>
      </w:r>
      <w:r w:rsidR="004713F8">
        <w:rPr>
          <w:rFonts w:ascii="Times New Roman" w:hAnsi="Times New Roman" w:cs="Times New Roman"/>
          <w:b/>
          <w:bCs/>
        </w:rPr>
        <w:t xml:space="preserve">Hypothesis 1 (H1): </w:t>
      </w:r>
      <w:r w:rsidR="004713F8">
        <w:rPr>
          <w:rFonts w:ascii="Times New Roman" w:hAnsi="Times New Roman" w:cs="Times New Roman"/>
        </w:rPr>
        <w:t>O</w:t>
      </w:r>
      <w:r w:rsidR="00A65A84">
        <w:rPr>
          <w:rFonts w:ascii="Times New Roman" w:hAnsi="Times New Roman" w:cs="Times New Roman"/>
        </w:rPr>
        <w:t>ligotrophic systems will be more susceptible to temperature</w:t>
      </w:r>
      <w:r w:rsidR="0089079E">
        <w:rPr>
          <w:rFonts w:ascii="Times New Roman" w:hAnsi="Times New Roman" w:cs="Times New Roman"/>
        </w:rPr>
        <w:t xml:space="preserve"> effects on</w:t>
      </w:r>
      <w:r w:rsidR="00FE6EAD">
        <w:rPr>
          <w:rFonts w:ascii="Times New Roman" w:hAnsi="Times New Roman" w:cs="Times New Roman"/>
        </w:rPr>
        <w:t xml:space="preserve"> bacterial stoichiometry</w:t>
      </w:r>
      <w:r w:rsidR="005418A0">
        <w:rPr>
          <w:rFonts w:ascii="Times New Roman" w:hAnsi="Times New Roman" w:cs="Times New Roman"/>
        </w:rPr>
        <w:t>,</w:t>
      </w:r>
      <w:r w:rsidR="00373FBC">
        <w:rPr>
          <w:rFonts w:ascii="Times New Roman" w:hAnsi="Times New Roman" w:cs="Times New Roman"/>
        </w:rPr>
        <w:t xml:space="preserve"> shown by an increase in P content and </w:t>
      </w:r>
      <w:r w:rsidR="005418A0">
        <w:rPr>
          <w:rFonts w:ascii="Times New Roman" w:hAnsi="Times New Roman" w:cs="Times New Roman"/>
        </w:rPr>
        <w:t>cell size</w:t>
      </w:r>
      <w:r w:rsidR="0070282B">
        <w:rPr>
          <w:rFonts w:ascii="Times New Roman" w:hAnsi="Times New Roman" w:cs="Times New Roman"/>
        </w:rPr>
        <w:t xml:space="preserve">. </w:t>
      </w:r>
      <w:r w:rsidR="0070282B">
        <w:rPr>
          <w:rFonts w:ascii="Times New Roman" w:hAnsi="Times New Roman" w:cs="Times New Roman"/>
          <w:b/>
          <w:bCs/>
        </w:rPr>
        <w:t>Hypothesis 1 (H2):</w:t>
      </w:r>
      <w:r w:rsidR="00F77381">
        <w:rPr>
          <w:rFonts w:ascii="Times New Roman" w:hAnsi="Times New Roman" w:cs="Times New Roman"/>
          <w:b/>
          <w:bCs/>
        </w:rPr>
        <w:t xml:space="preserve"> </w:t>
      </w:r>
      <w:r w:rsidR="00F77381">
        <w:rPr>
          <w:rFonts w:ascii="Times New Roman" w:hAnsi="Times New Roman" w:cs="Times New Roman"/>
        </w:rPr>
        <w:t xml:space="preserve">Less severe winters, </w:t>
      </w:r>
      <w:r w:rsidR="0051784F">
        <w:rPr>
          <w:rFonts w:ascii="Times New Roman" w:hAnsi="Times New Roman" w:cs="Times New Roman"/>
        </w:rPr>
        <w:t xml:space="preserve">will </w:t>
      </w:r>
      <w:r w:rsidR="0000700B">
        <w:rPr>
          <w:rFonts w:ascii="Times New Roman" w:hAnsi="Times New Roman" w:cs="Times New Roman"/>
        </w:rPr>
        <w:t>show a moderate response in stoichiometric plasticity</w:t>
      </w:r>
      <w:r w:rsidR="000205AC">
        <w:rPr>
          <w:rFonts w:ascii="Times New Roman" w:hAnsi="Times New Roman" w:cs="Times New Roman"/>
        </w:rPr>
        <w:t>.</w:t>
      </w:r>
      <w:r w:rsidR="0070282B">
        <w:rPr>
          <w:rFonts w:ascii="Times New Roman" w:hAnsi="Times New Roman" w:cs="Times New Roman"/>
          <w:b/>
          <w:bCs/>
        </w:rPr>
        <w:t xml:space="preserve"> </w:t>
      </w:r>
      <w:r w:rsidR="00830F82">
        <w:rPr>
          <w:rFonts w:ascii="Times New Roman" w:hAnsi="Times New Roman" w:cs="Times New Roman"/>
          <w:b/>
          <w:bCs/>
        </w:rPr>
        <w:t xml:space="preserve">Objective 2: </w:t>
      </w:r>
      <w:r w:rsidR="00830F82">
        <w:rPr>
          <w:rFonts w:ascii="Times New Roman" w:hAnsi="Times New Roman" w:cs="Times New Roman"/>
        </w:rPr>
        <w:t>e</w:t>
      </w:r>
      <w:r w:rsidR="0050017F">
        <w:rPr>
          <w:rFonts w:ascii="Times New Roman" w:hAnsi="Times New Roman" w:cs="Times New Roman"/>
        </w:rPr>
        <w:t>valuate microbial community resilience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3</w:t>
      </w:r>
      <w:r w:rsidR="00EE243B">
        <w:rPr>
          <w:rFonts w:ascii="Times New Roman" w:hAnsi="Times New Roman" w:cs="Times New Roman"/>
          <w:b/>
          <w:bCs/>
        </w:rPr>
        <w:t xml:space="preserve"> (H</w:t>
      </w:r>
      <w:r w:rsidR="0070282B">
        <w:rPr>
          <w:rFonts w:ascii="Times New Roman" w:hAnsi="Times New Roman" w:cs="Times New Roman"/>
          <w:b/>
          <w:bCs/>
        </w:rPr>
        <w:t>3</w:t>
      </w:r>
      <w:r w:rsidR="00EE243B">
        <w:rPr>
          <w:rFonts w:ascii="Times New Roman" w:hAnsi="Times New Roman" w:cs="Times New Roman"/>
          <w:b/>
          <w:bCs/>
        </w:rPr>
        <w:t>):</w:t>
      </w:r>
      <w:r w:rsidR="00EE243B">
        <w:rPr>
          <w:rFonts w:ascii="Times New Roman" w:hAnsi="Times New Roman" w:cs="Times New Roman"/>
        </w:rPr>
        <w:t xml:space="preserve"> </w:t>
      </w:r>
      <w:r w:rsidR="00A73D40">
        <w:rPr>
          <w:rFonts w:ascii="Times New Roman" w:hAnsi="Times New Roman" w:cs="Times New Roman"/>
        </w:rPr>
        <w:t xml:space="preserve">oligotrophic systems </w:t>
      </w:r>
      <w:r w:rsidR="00BC25C4">
        <w:rPr>
          <w:rFonts w:ascii="Times New Roman" w:hAnsi="Times New Roman" w:cs="Times New Roman"/>
        </w:rPr>
        <w:t>will have a</w:t>
      </w:r>
      <w:r w:rsidR="00EE243B">
        <w:rPr>
          <w:rFonts w:ascii="Times New Roman" w:hAnsi="Times New Roman" w:cs="Times New Roman"/>
        </w:rPr>
        <w:t xml:space="preserve"> </w:t>
      </w:r>
      <w:r w:rsidR="00BC25C4">
        <w:rPr>
          <w:rFonts w:ascii="Times New Roman" w:hAnsi="Times New Roman" w:cs="Times New Roman"/>
        </w:rPr>
        <w:t xml:space="preserve">lower functional redundancy when compared to </w:t>
      </w:r>
      <w:r w:rsidR="00EB0546">
        <w:rPr>
          <w:rFonts w:ascii="Times New Roman" w:hAnsi="Times New Roman" w:cs="Times New Roman"/>
        </w:rPr>
        <w:t>eutrophic systems</w:t>
      </w:r>
      <w:r w:rsidR="00EE243B">
        <w:rPr>
          <w:rFonts w:ascii="Times New Roman" w:hAnsi="Times New Roman" w:cs="Times New Roman"/>
        </w:rPr>
        <w:t>, marked by</w:t>
      </w:r>
      <w:r w:rsidR="00DC49C9">
        <w:rPr>
          <w:rFonts w:ascii="Times New Roman" w:hAnsi="Times New Roman" w:cs="Times New Roman"/>
        </w:rPr>
        <w:t xml:space="preserve"> more specialized taxa</w:t>
      </w:r>
      <w:r w:rsidR="00A662B3">
        <w:rPr>
          <w:rFonts w:ascii="Times New Roman" w:hAnsi="Times New Roman" w:cs="Times New Roman"/>
        </w:rPr>
        <w:t xml:space="preserve"> </w:t>
      </w:r>
      <w:r w:rsidR="00091910">
        <w:rPr>
          <w:rFonts w:ascii="Times New Roman" w:hAnsi="Times New Roman" w:cs="Times New Roman"/>
        </w:rPr>
        <w:t>when compared to eutrophic systems</w:t>
      </w:r>
      <w:r w:rsidR="00216DA8">
        <w:rPr>
          <w:rFonts w:ascii="Times New Roman" w:hAnsi="Times New Roman" w:cs="Times New Roman"/>
        </w:rPr>
        <w:t xml:space="preserve"> making oligotrophic systems less resilient to changes in environmental conditions.</w:t>
      </w:r>
      <w:r w:rsidR="002F5830">
        <w:rPr>
          <w:rFonts w:ascii="Times New Roman" w:hAnsi="Times New Roman" w:cs="Times New Roman"/>
        </w:rPr>
        <w:t xml:space="preserve"> </w:t>
      </w:r>
      <w:r w:rsidR="00216DA8">
        <w:rPr>
          <w:rFonts w:ascii="Times New Roman" w:hAnsi="Times New Roman" w:cs="Times New Roman"/>
        </w:rPr>
        <w:t xml:space="preserve"> </w:t>
      </w:r>
    </w:p>
    <w:p w14:paraId="7EB8E020" w14:textId="73FC086E" w:rsidR="00E67013" w:rsidRPr="00037DFF" w:rsidRDefault="008B4BC9" w:rsidP="00EE54A0">
      <w:pPr>
        <w:rPr>
          <w:rFonts w:ascii="Times New Roman" w:hAnsi="Times New Roman" w:cs="Times New Roman"/>
        </w:rPr>
      </w:pPr>
      <w:r>
        <w:rPr>
          <w:rFonts w:ascii="Times New Roman" w:hAnsi="Times New Roman" w:cs="Times New Roman"/>
          <w:b/>
          <w:bCs/>
          <w:i/>
          <w:iCs/>
        </w:rPr>
        <w:t xml:space="preserve">Relation to MISG strategic plan: </w:t>
      </w:r>
      <w:r w:rsidR="008E0873">
        <w:rPr>
          <w:rFonts w:ascii="Times New Roman" w:hAnsi="Times New Roman" w:cs="Times New Roman"/>
        </w:rPr>
        <w:t xml:space="preserve">The </w:t>
      </w:r>
      <w:r w:rsidR="006E0B51">
        <w:rPr>
          <w:rFonts w:ascii="Times New Roman" w:hAnsi="Times New Roman" w:cs="Times New Roman"/>
        </w:rPr>
        <w:t xml:space="preserve">proposed </w:t>
      </w:r>
      <w:r w:rsidR="008E0873">
        <w:rPr>
          <w:rFonts w:ascii="Times New Roman" w:hAnsi="Times New Roman" w:cs="Times New Roman"/>
        </w:rPr>
        <w:t>research directly related to the 2024-2027 Michigan Sea Grant Strategic plan</w:t>
      </w:r>
      <w:r w:rsidR="00243EFA">
        <w:rPr>
          <w:rFonts w:ascii="Times New Roman" w:hAnsi="Times New Roman" w:cs="Times New Roman"/>
        </w:rPr>
        <w:t xml:space="preserve"> </w:t>
      </w:r>
      <w:r w:rsidR="00087473">
        <w:rPr>
          <w:rFonts w:ascii="Times New Roman" w:hAnsi="Times New Roman" w:cs="Times New Roman"/>
          <w:b/>
          <w:bCs/>
        </w:rPr>
        <w:t>Goal 1</w:t>
      </w:r>
      <w:r w:rsidR="004E7F49">
        <w:rPr>
          <w:rFonts w:ascii="Times New Roman" w:hAnsi="Times New Roman" w:cs="Times New Roman"/>
          <w:b/>
          <w:bCs/>
        </w:rPr>
        <w:t xml:space="preserve">, </w:t>
      </w:r>
      <w:r w:rsidR="001D23DC">
        <w:rPr>
          <w:rFonts w:ascii="Times New Roman" w:hAnsi="Times New Roman" w:cs="Times New Roman"/>
          <w:b/>
          <w:bCs/>
        </w:rPr>
        <w:t xml:space="preserve">Desired Outcome 1.2, </w:t>
      </w:r>
      <w:r w:rsidR="001D23DC">
        <w:rPr>
          <w:rFonts w:ascii="Times New Roman" w:hAnsi="Times New Roman" w:cs="Times New Roman"/>
        </w:rPr>
        <w:t>“</w:t>
      </w:r>
      <w:r w:rsidR="001E3771">
        <w:rPr>
          <w:rFonts w:ascii="Times New Roman" w:hAnsi="Times New Roman" w:cs="Times New Roman"/>
        </w:rPr>
        <w:t>Educators, students, and lifelong learners have current information</w:t>
      </w:r>
      <w:r w:rsidR="00590CFC">
        <w:rPr>
          <w:rFonts w:ascii="Times New Roman" w:hAnsi="Times New Roman" w:cs="Times New Roman"/>
        </w:rPr>
        <w:t xml:space="preserve"> and innovative tools that meet or exceed relevant standards and practices”</w:t>
      </w:r>
      <w:r w:rsidR="005A3913">
        <w:rPr>
          <w:rFonts w:ascii="Times New Roman" w:hAnsi="Times New Roman" w:cs="Times New Roman"/>
        </w:rPr>
        <w:t>.</w:t>
      </w:r>
      <w:r w:rsidR="00074584">
        <w:rPr>
          <w:rFonts w:ascii="Times New Roman" w:hAnsi="Times New Roman" w:cs="Times New Roman"/>
        </w:rPr>
        <w:t xml:space="preserve"> </w:t>
      </w:r>
      <w:r w:rsidR="00515DDA">
        <w:rPr>
          <w:rFonts w:ascii="Times New Roman" w:hAnsi="Times New Roman" w:cs="Times New Roman"/>
          <w:b/>
          <w:bCs/>
        </w:rPr>
        <w:t>Goal 3, Desired Outcome 3.</w:t>
      </w:r>
      <w:r w:rsidR="007D36C5">
        <w:rPr>
          <w:rFonts w:ascii="Times New Roman" w:hAnsi="Times New Roman" w:cs="Times New Roman"/>
          <w:b/>
          <w:bCs/>
        </w:rPr>
        <w:t>2</w:t>
      </w:r>
      <w:r w:rsidR="00D53077">
        <w:rPr>
          <w:rFonts w:ascii="Times New Roman" w:hAnsi="Times New Roman" w:cs="Times New Roman"/>
          <w:b/>
          <w:bCs/>
        </w:rPr>
        <w:t xml:space="preserve">, </w:t>
      </w:r>
      <w:r w:rsidR="00D53077">
        <w:rPr>
          <w:rFonts w:ascii="Times New Roman" w:hAnsi="Times New Roman" w:cs="Times New Roman"/>
        </w:rPr>
        <w:t xml:space="preserve">“Evidence-based science, traditional </w:t>
      </w:r>
      <w:r w:rsidR="00D53077">
        <w:rPr>
          <w:rFonts w:ascii="Times New Roman" w:hAnsi="Times New Roman" w:cs="Times New Roman"/>
        </w:rPr>
        <w:lastRenderedPageBreak/>
        <w:t>and local, and innovative solutions inform and improve management and conservation of coastal habitats”.</w:t>
      </w:r>
      <w:r w:rsidR="00F37CC3">
        <w:rPr>
          <w:rFonts w:ascii="Times New Roman" w:hAnsi="Times New Roman" w:cs="Times New Roman"/>
        </w:rPr>
        <w:t xml:space="preserve"> </w:t>
      </w:r>
      <w:r w:rsidR="00F37CC3">
        <w:rPr>
          <w:rFonts w:ascii="Times New Roman" w:hAnsi="Times New Roman" w:cs="Times New Roman"/>
          <w:b/>
          <w:bCs/>
        </w:rPr>
        <w:t>Goal 7, Desirec Outcome 7.</w:t>
      </w:r>
      <w:r w:rsidR="00037DFF">
        <w:rPr>
          <w:rFonts w:ascii="Times New Roman" w:hAnsi="Times New Roman" w:cs="Times New Roman"/>
          <w:b/>
          <w:bCs/>
        </w:rPr>
        <w:t xml:space="preserve">1, </w:t>
      </w:r>
      <w:r w:rsidR="00037DFF">
        <w:rPr>
          <w:rFonts w:ascii="Times New Roman" w:hAnsi="Times New Roman" w:cs="Times New Roman"/>
        </w:rPr>
        <w:t xml:space="preserve">“Scientific understanding, including traditional and local knowledge, provides foundational information, and all community members </w:t>
      </w:r>
      <w:r w:rsidR="00E129FF">
        <w:rPr>
          <w:rFonts w:ascii="Times New Roman" w:hAnsi="Times New Roman" w:cs="Times New Roman"/>
        </w:rPr>
        <w:t xml:space="preserve">understand the impacts of changing conditions and coastal hazards and </w:t>
      </w:r>
      <w:r w:rsidR="00E12558">
        <w:rPr>
          <w:rFonts w:ascii="Times New Roman" w:hAnsi="Times New Roman" w:cs="Times New Roman"/>
        </w:rPr>
        <w:t>can</w:t>
      </w:r>
      <w:r w:rsidR="00E129FF">
        <w:rPr>
          <w:rFonts w:ascii="Times New Roman" w:hAnsi="Times New Roman" w:cs="Times New Roman"/>
        </w:rPr>
        <w:t xml:space="preserve"> prepare, respond and adapt</w:t>
      </w:r>
      <w:r w:rsidR="00E12558">
        <w:rPr>
          <w:rFonts w:ascii="Times New Roman" w:hAnsi="Times New Roman" w:cs="Times New Roman"/>
        </w:rPr>
        <w:t>”.</w:t>
      </w:r>
    </w:p>
    <w:p w14:paraId="6DD18A53" w14:textId="49D03F49" w:rsidR="00431A50" w:rsidRPr="00C63F50" w:rsidRDefault="007774DD" w:rsidP="00EE54A0">
      <w:pPr>
        <w:rPr>
          <w:rFonts w:ascii="Times New Roman" w:hAnsi="Times New Roman" w:cs="Times New Roman"/>
        </w:rPr>
      </w:pPr>
      <w:r>
        <w:rPr>
          <w:rFonts w:ascii="Times New Roman" w:hAnsi="Times New Roman" w:cs="Times New Roman"/>
          <w:b/>
          <w:bCs/>
          <w:i/>
          <w:iCs/>
        </w:rPr>
        <w:t xml:space="preserve">Experimental Design: </w:t>
      </w:r>
      <w:r w:rsidR="006525C1">
        <w:rPr>
          <w:rFonts w:ascii="Times New Roman" w:hAnsi="Times New Roman" w:cs="Times New Roman"/>
          <w:b/>
          <w:bCs/>
        </w:rPr>
        <w:t>Experiment 1:</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H1</w:t>
      </w:r>
      <w:r w:rsidR="000205AC">
        <w:rPr>
          <w:rFonts w:ascii="Times New Roman" w:hAnsi="Times New Roman" w:cs="Times New Roman"/>
          <w:b/>
          <w:bCs/>
        </w:rPr>
        <w:t xml:space="preserve"> and H2</w:t>
      </w:r>
      <w:r w:rsidR="002D396D">
        <w:rPr>
          <w:rFonts w:ascii="Times New Roman" w:hAnsi="Times New Roman" w:cs="Times New Roman"/>
          <w:b/>
          <w:bCs/>
        </w:rPr>
        <w:t xml:space="preserve">, </w:t>
      </w:r>
      <w:r w:rsidR="002D396D">
        <w:rPr>
          <w:rFonts w:ascii="Times New Roman" w:hAnsi="Times New Roman" w:cs="Times New Roman"/>
        </w:rPr>
        <w:t>b</w:t>
      </w:r>
      <w:r w:rsidR="007E67B2">
        <w:rPr>
          <w:rFonts w:ascii="Times New Roman" w:hAnsi="Times New Roman" w:cs="Times New Roman"/>
        </w:rPr>
        <w:t xml:space="preserve">acterial communities </w:t>
      </w:r>
      <w:r w:rsidR="006A3248">
        <w:rPr>
          <w:rFonts w:ascii="Times New Roman" w:hAnsi="Times New Roman" w:cs="Times New Roman"/>
        </w:rPr>
        <w:t xml:space="preserve">from </w:t>
      </w:r>
      <w:r w:rsidR="00D0485B">
        <w:rPr>
          <w:rFonts w:ascii="Times New Roman" w:hAnsi="Times New Roman" w:cs="Times New Roman"/>
        </w:rPr>
        <w:t>Lake</w:t>
      </w:r>
      <w:r w:rsidR="00052CE7">
        <w:rPr>
          <w:rFonts w:ascii="Times New Roman" w:hAnsi="Times New Roman" w:cs="Times New Roman"/>
        </w:rPr>
        <w:t xml:space="preserve"> Superior, Huron, and Erie</w:t>
      </w:r>
      <w:r w:rsidR="004D5BE1">
        <w:rPr>
          <w:rFonts w:ascii="Times New Roman" w:hAnsi="Times New Roman" w:cs="Times New Roman"/>
        </w:rPr>
        <w:t xml:space="preserve"> will be collected</w:t>
      </w:r>
      <w:r w:rsidR="00C63F50">
        <w:rPr>
          <w:rFonts w:ascii="Times New Roman" w:hAnsi="Times New Roman" w:cs="Times New Roman"/>
        </w:rPr>
        <w:t>,</w:t>
      </w:r>
      <w:r w:rsidR="004D5BE1">
        <w:rPr>
          <w:rFonts w:ascii="Times New Roman" w:hAnsi="Times New Roman" w:cs="Times New Roman"/>
        </w:rPr>
        <w:t xml:space="preserve"> and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will be conducted</w:t>
      </w:r>
      <w:r w:rsidR="00EF2C30">
        <w:rPr>
          <w:rFonts w:ascii="Times New Roman" w:hAnsi="Times New Roman" w:cs="Times New Roman"/>
        </w:rPr>
        <w:t>. Lake Superior and Huron communities</w:t>
      </w:r>
      <w:r w:rsidR="006E1694">
        <w:rPr>
          <w:rFonts w:ascii="Times New Roman" w:hAnsi="Times New Roman" w:cs="Times New Roman"/>
        </w:rPr>
        <w:t xml:space="preserve"> </w:t>
      </w:r>
      <w:r w:rsidR="00D95939">
        <w:rPr>
          <w:rFonts w:ascii="Times New Roman" w:hAnsi="Times New Roman" w:cs="Times New Roman"/>
        </w:rPr>
        <w:t xml:space="preserve">will be swapped </w:t>
      </w:r>
      <w:r w:rsidR="00130CD4">
        <w:rPr>
          <w:rFonts w:ascii="Times New Roman" w:hAnsi="Times New Roman" w:cs="Times New Roman"/>
        </w:rPr>
        <w:t xml:space="preserve">as well as Lake Huron and Lake Erie, to establish </w:t>
      </w:r>
      <w:r w:rsidR="00D95939">
        <w:rPr>
          <w:rFonts w:ascii="Times New Roman" w:hAnsi="Times New Roman" w:cs="Times New Roman"/>
        </w:rPr>
        <w:t xml:space="preserve">a trophic gradient. </w:t>
      </w:r>
      <w:r w:rsidR="00CA5990">
        <w:rPr>
          <w:rFonts w:ascii="Times New Roman" w:hAnsi="Times New Roman" w:cs="Times New Roman"/>
        </w:rPr>
        <w:t xml:space="preserve">The bacterial response to </w:t>
      </w:r>
      <w:r w:rsidR="00F0528A">
        <w:rPr>
          <w:rFonts w:ascii="Times New Roman" w:hAnsi="Times New Roman" w:cs="Times New Roman"/>
        </w:rPr>
        <w:t xml:space="preserve">being transplanted into a different environment will be tracked </w:t>
      </w:r>
      <w:r w:rsidR="00C3728D">
        <w:rPr>
          <w:rFonts w:ascii="Times New Roman" w:hAnsi="Times New Roman" w:cs="Times New Roman"/>
        </w:rPr>
        <w:t>throughout</w:t>
      </w:r>
      <w:r w:rsidR="00F0528A">
        <w:rPr>
          <w:rFonts w:ascii="Times New Roman" w:hAnsi="Times New Roman" w:cs="Times New Roman"/>
        </w:rPr>
        <w:t xml:space="preserve"> 48 hrs</w:t>
      </w:r>
      <w:r w:rsidR="00C3728D">
        <w:rPr>
          <w:rFonts w:ascii="Times New Roman" w:hAnsi="Times New Roman" w:cs="Times New Roman"/>
        </w:rPr>
        <w:t xml:space="preserve"> with sub-sampling taken at intervals within that time. Samples will be analyzed for particulate C, N, and P</w:t>
      </w:r>
      <w:r w:rsidR="009A10C9">
        <w:rPr>
          <w:rFonts w:ascii="Times New Roman" w:hAnsi="Times New Roman" w:cs="Times New Roman"/>
        </w:rPr>
        <w:t xml:space="preserve"> in the bacterial communities and the water inside the dialysis bag. Water samples from the host lake</w:t>
      </w:r>
      <w:r w:rsidR="00E76531">
        <w:rPr>
          <w:rFonts w:ascii="Times New Roman" w:hAnsi="Times New Roman" w:cs="Times New Roman"/>
        </w:rPr>
        <w:t xml:space="preserve"> will also be collected for analysis at the beginning and end of the </w:t>
      </w:r>
      <w:r w:rsidR="00783736">
        <w:rPr>
          <w:rFonts w:ascii="Times New Roman" w:hAnsi="Times New Roman" w:cs="Times New Roman"/>
        </w:rPr>
        <w:t>incubation period. Additionally, morphological traits will be determined via flow cytometry</w:t>
      </w:r>
      <w:r w:rsidR="002B3875">
        <w:rPr>
          <w:rFonts w:ascii="Times New Roman" w:hAnsi="Times New Roman" w:cs="Times New Roman"/>
        </w:rPr>
        <w:t>, and changes in community assemblage will be analyzed using 16S rRNA gene sequencing.</w:t>
      </w:r>
      <w:r w:rsidR="0095139D">
        <w:rPr>
          <w:rFonts w:ascii="Times New Roman" w:hAnsi="Times New Roman" w:cs="Times New Roman"/>
        </w:rPr>
        <w:t xml:space="preserve"> Physical </w:t>
      </w:r>
      <w:r w:rsidR="0022492E">
        <w:rPr>
          <w:rFonts w:ascii="Times New Roman" w:hAnsi="Times New Roman" w:cs="Times New Roman"/>
        </w:rPr>
        <w:t>and chemical parameters such as ice cover (when applicable), dissolved oxygen, pH</w:t>
      </w:r>
      <w:r w:rsidR="00F2763E">
        <w:rPr>
          <w:rFonts w:ascii="Times New Roman" w:hAnsi="Times New Roman" w:cs="Times New Roman"/>
        </w:rPr>
        <w:t>, and water temperature will also be measured</w:t>
      </w:r>
      <w:r w:rsidR="00BB1DEA">
        <w:rPr>
          <w:rFonts w:ascii="Times New Roman" w:hAnsi="Times New Roman" w:cs="Times New Roman"/>
        </w:rPr>
        <w:t>.</w:t>
      </w:r>
      <w:r w:rsidR="00206F40">
        <w:rPr>
          <w:rFonts w:ascii="Times New Roman" w:hAnsi="Times New Roman" w:cs="Times New Roman"/>
        </w:rPr>
        <w:t xml:space="preserve"> </w:t>
      </w:r>
      <w:r w:rsidR="006960FD">
        <w:rPr>
          <w:rFonts w:ascii="Times New Roman" w:hAnsi="Times New Roman" w:cs="Times New Roman"/>
        </w:rPr>
        <w:t xml:space="preserve">To </w:t>
      </w:r>
      <w:r w:rsidR="001E1F87">
        <w:rPr>
          <w:rFonts w:ascii="Times New Roman" w:hAnsi="Times New Roman" w:cs="Times New Roman"/>
        </w:rPr>
        <w:t>measure DOM</w:t>
      </w:r>
      <w:r w:rsidR="0014673B">
        <w:rPr>
          <w:rFonts w:ascii="Times New Roman" w:hAnsi="Times New Roman" w:cs="Times New Roman"/>
        </w:rPr>
        <w:t xml:space="preserve">, 0.45 </w:t>
      </w:r>
      <w:r w:rsidR="0014673B">
        <w:rPr>
          <w:rFonts w:ascii="Symbol" w:hAnsi="Symbol" w:cs="Times New Roman"/>
        </w:rPr>
        <w:t>m</w:t>
      </w:r>
      <w:r w:rsidR="0014673B">
        <w:rPr>
          <w:rFonts w:ascii="Times New Roman" w:hAnsi="Times New Roman" w:cs="Times New Roman"/>
        </w:rPr>
        <w:t>m filtered water samples will be analyzed for dissolved organic carbon (DOC) and total nitrogen (TN)</w:t>
      </w:r>
      <w:r w:rsidR="006F205B">
        <w:rPr>
          <w:rFonts w:ascii="Times New Roman" w:hAnsi="Times New Roman" w:cs="Times New Roman"/>
        </w:rPr>
        <w:t xml:space="preserve"> using a Shimadzu TOC-L, and </w:t>
      </w:r>
      <w:r w:rsidR="0062675D">
        <w:rPr>
          <w:rFonts w:ascii="Times New Roman" w:hAnsi="Times New Roman" w:cs="Times New Roman"/>
        </w:rPr>
        <w:t xml:space="preserve">fluorescent dissolved organic matter will be measured by </w:t>
      </w:r>
      <w:r w:rsidR="001F437C">
        <w:rPr>
          <w:rFonts w:ascii="Times New Roman" w:hAnsi="Times New Roman" w:cs="Times New Roman"/>
        </w:rPr>
        <w:t xml:space="preserve">fluorescent microscopy and </w:t>
      </w:r>
      <w:r w:rsidR="0062675D">
        <w:rPr>
          <w:rFonts w:ascii="Times New Roman" w:hAnsi="Times New Roman" w:cs="Times New Roman"/>
        </w:rPr>
        <w:t>excitation</w:t>
      </w:r>
      <w:r w:rsidR="006046A7">
        <w:rPr>
          <w:rFonts w:ascii="Times New Roman" w:hAnsi="Times New Roman" w:cs="Times New Roman"/>
        </w:rPr>
        <w:t>-emission</w:t>
      </w:r>
      <w:r w:rsidR="0062675D">
        <w:rPr>
          <w:rFonts w:ascii="Times New Roman" w:hAnsi="Times New Roman" w:cs="Times New Roman"/>
        </w:rPr>
        <w:t xml:space="preserve"> matri</w:t>
      </w:r>
      <w:r w:rsidR="006046A7">
        <w:rPr>
          <w:rFonts w:ascii="Times New Roman" w:hAnsi="Times New Roman" w:cs="Times New Roman"/>
        </w:rPr>
        <w:t>ces</w:t>
      </w:r>
      <w:r w:rsidR="0062675D">
        <w:rPr>
          <w:rFonts w:ascii="Times New Roman" w:hAnsi="Times New Roman" w:cs="Times New Roman"/>
        </w:rPr>
        <w:t xml:space="preserve"> </w:t>
      </w:r>
      <w:r w:rsidR="002273DE">
        <w:rPr>
          <w:rFonts w:ascii="Times New Roman" w:hAnsi="Times New Roman" w:cs="Times New Roman"/>
        </w:rPr>
        <w:t>using a Horiba Aqualog.</w:t>
      </w:r>
      <w:r w:rsidR="00F5242A">
        <w:rPr>
          <w:rFonts w:ascii="Times New Roman" w:hAnsi="Times New Roman" w:cs="Times New Roman"/>
        </w:rPr>
        <w:t xml:space="preserve"> </w:t>
      </w:r>
      <w:r w:rsidR="00F5242A">
        <w:rPr>
          <w:rFonts w:ascii="Times New Roman" w:hAnsi="Times New Roman" w:cs="Times New Roman"/>
          <w:b/>
          <w:bCs/>
        </w:rPr>
        <w:t>H3</w:t>
      </w:r>
      <w:r w:rsidR="00F5242A">
        <w:rPr>
          <w:rFonts w:ascii="Times New Roman" w:hAnsi="Times New Roman" w:cs="Times New Roman"/>
        </w:rPr>
        <w:t xml:space="preserve"> will be conducted </w:t>
      </w:r>
      <w:r w:rsidR="00094B6E">
        <w:rPr>
          <w:rFonts w:ascii="Times New Roman" w:hAnsi="Times New Roman" w:cs="Times New Roman"/>
        </w:rPr>
        <w:t>similarly</w:t>
      </w:r>
      <w:r w:rsidR="00F5242A">
        <w:rPr>
          <w:rFonts w:ascii="Times New Roman" w:hAnsi="Times New Roman" w:cs="Times New Roman"/>
        </w:rPr>
        <w:t xml:space="preserve"> to </w:t>
      </w:r>
      <w:r w:rsidR="00F5242A">
        <w:rPr>
          <w:rFonts w:ascii="Times New Roman" w:hAnsi="Times New Roman" w:cs="Times New Roman"/>
          <w:b/>
          <w:bCs/>
        </w:rPr>
        <w:t xml:space="preserve">H1 </w:t>
      </w:r>
      <w:r w:rsidR="00F5242A">
        <w:rPr>
          <w:rFonts w:ascii="Times New Roman" w:hAnsi="Times New Roman" w:cs="Times New Roman"/>
        </w:rPr>
        <w:t xml:space="preserve">and </w:t>
      </w:r>
      <w:r w:rsidR="00F5242A">
        <w:rPr>
          <w:rFonts w:ascii="Times New Roman" w:hAnsi="Times New Roman" w:cs="Times New Roman"/>
          <w:b/>
          <w:bCs/>
        </w:rPr>
        <w:t>H2</w:t>
      </w:r>
      <w:r w:rsidR="00C63F50">
        <w:rPr>
          <w:rFonts w:ascii="Times New Roman" w:hAnsi="Times New Roman" w:cs="Times New Roman"/>
        </w:rPr>
        <w:t>, but field work will not be conducted until</w:t>
      </w:r>
      <w:r w:rsidR="00094B6E">
        <w:rPr>
          <w:rFonts w:ascii="Times New Roman" w:hAnsi="Times New Roman" w:cs="Times New Roman"/>
        </w:rPr>
        <w:t xml:space="preserve"> the following winter (2027) </w:t>
      </w:r>
      <w:r w:rsidR="00A42B67">
        <w:rPr>
          <w:rFonts w:ascii="Times New Roman" w:hAnsi="Times New Roman" w:cs="Times New Roman"/>
        </w:rPr>
        <w:t xml:space="preserve">to record annual variation in winter conditions. Winter severity </w:t>
      </w:r>
      <w:r w:rsidR="002B0B53">
        <w:rPr>
          <w:rFonts w:ascii="Times New Roman" w:hAnsi="Times New Roman" w:cs="Times New Roman"/>
        </w:rPr>
        <w:t xml:space="preserve">will be measured in both experiments 1 and </w:t>
      </w:r>
      <w:r w:rsidR="00697F71">
        <w:rPr>
          <w:rFonts w:ascii="Times New Roman" w:hAnsi="Times New Roman" w:cs="Times New Roman"/>
        </w:rPr>
        <w:t>2 and</w:t>
      </w:r>
      <w:r w:rsidR="002B0B53">
        <w:rPr>
          <w:rFonts w:ascii="Times New Roman" w:hAnsi="Times New Roman" w:cs="Times New Roman"/>
        </w:rPr>
        <w:t xml:space="preserve"> will be classified as ice depth (cm)</w:t>
      </w:r>
      <w:r w:rsidR="001D7355">
        <w:rPr>
          <w:rFonts w:ascii="Times New Roman" w:hAnsi="Times New Roman" w:cs="Times New Roman"/>
        </w:rPr>
        <w:t>, as ice depth is closely linked to water temperature.</w:t>
      </w:r>
    </w:p>
    <w:p w14:paraId="52E8A056" w14:textId="3172330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for </w:t>
      </w:r>
      <w:r w:rsidR="006046A7">
        <w:rPr>
          <w:rFonts w:ascii="Times New Roman" w:hAnsi="Times New Roman" w:cs="Times New Roman"/>
        </w:rPr>
        <w:t xml:space="preserve">experiment 1 will be done </w:t>
      </w:r>
      <w:r w:rsidR="00641017">
        <w:rPr>
          <w:rFonts w:ascii="Times New Roman" w:hAnsi="Times New Roman" w:cs="Times New Roman"/>
        </w:rPr>
        <w:t xml:space="preserve">in </w:t>
      </w:r>
      <w:r w:rsidR="00B45D8C">
        <w:rPr>
          <w:rFonts w:ascii="Times New Roman" w:hAnsi="Times New Roman" w:cs="Times New Roman"/>
        </w:rPr>
        <w:t>Jan</w:t>
      </w:r>
      <w:r w:rsidR="00714CDE">
        <w:rPr>
          <w:rFonts w:ascii="Times New Roman" w:hAnsi="Times New Roman" w:cs="Times New Roman"/>
        </w:rPr>
        <w:t>uary</w:t>
      </w:r>
      <w:r w:rsidR="00E26B92">
        <w:rPr>
          <w:rFonts w:ascii="Times New Roman" w:hAnsi="Times New Roman" w:cs="Times New Roman"/>
        </w:rPr>
        <w:t xml:space="preserve"> and</w:t>
      </w:r>
      <w:r w:rsidR="00583B60">
        <w:rPr>
          <w:rFonts w:ascii="Times New Roman" w:hAnsi="Times New Roman" w:cs="Times New Roman"/>
        </w:rPr>
        <w:t xml:space="preserve"> May </w:t>
      </w:r>
      <w:r w:rsidR="00E26B92">
        <w:rPr>
          <w:rFonts w:ascii="Times New Roman" w:hAnsi="Times New Roman" w:cs="Times New Roman"/>
        </w:rPr>
        <w:t xml:space="preserve">of </w:t>
      </w:r>
      <w:r w:rsidR="00583B60">
        <w:rPr>
          <w:rFonts w:ascii="Times New Roman" w:hAnsi="Times New Roman" w:cs="Times New Roman"/>
        </w:rPr>
        <w:t>2026. Data analysis for experiment 1 will be done</w:t>
      </w:r>
      <w:r w:rsidR="00B45D8C">
        <w:rPr>
          <w:rFonts w:ascii="Times New Roman" w:hAnsi="Times New Roman" w:cs="Times New Roman"/>
        </w:rPr>
        <w:t xml:space="preserve"> in the fall of 2026. Field work for experiment 2 will be conducted during January </w:t>
      </w:r>
      <w:r w:rsidR="00E26B92">
        <w:rPr>
          <w:rFonts w:ascii="Times New Roman" w:hAnsi="Times New Roman" w:cs="Times New Roman"/>
        </w:rPr>
        <w:t xml:space="preserve">and May of 2027, with data analysis being conducted in the fall of 2027. </w:t>
      </w:r>
      <w:r w:rsidR="00564E53">
        <w:rPr>
          <w:rFonts w:ascii="Times New Roman" w:hAnsi="Times New Roman" w:cs="Times New Roman"/>
        </w:rPr>
        <w:t xml:space="preserve">In Spring 2028, a manuscript will be drafted. </w:t>
      </w:r>
      <w:r w:rsidR="00A3300F">
        <w:rPr>
          <w:rFonts w:ascii="Times New Roman" w:hAnsi="Times New Roman" w:cs="Times New Roman"/>
        </w:rPr>
        <w:t xml:space="preserve">I will tentatively defend my dissertation in </w:t>
      </w:r>
      <w:r w:rsidR="009C464E">
        <w:rPr>
          <w:rFonts w:ascii="Times New Roman" w:hAnsi="Times New Roman" w:cs="Times New Roman"/>
        </w:rPr>
        <w:t>spring 2029.</w:t>
      </w:r>
    </w:p>
    <w:p w14:paraId="6F98FC19" w14:textId="5D0B3103"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presented the </w:t>
      </w:r>
      <w:r w:rsidR="00B80451">
        <w:rPr>
          <w:rFonts w:ascii="Times New Roman" w:hAnsi="Times New Roman" w:cs="Times New Roman"/>
        </w:rPr>
        <w:t xml:space="preserve">2028 IAGLR meeting.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r w:rsidR="006B10FE">
        <w:rPr>
          <w:rFonts w:ascii="Times New Roman" w:hAnsi="Times New Roman" w:cs="Times New Roman"/>
        </w:rPr>
        <w:t xml:space="preserve"> </w:t>
      </w:r>
    </w:p>
    <w:p w14:paraId="7FD99679" w14:textId="0FCEEC67" w:rsidR="004F037F" w:rsidRPr="00784EE1" w:rsidRDefault="00784EE1" w:rsidP="00D13DF2">
      <w:pPr>
        <w:pStyle w:val="Bibliography"/>
        <w:rPr>
          <w:rFonts w:ascii="Times New Roman" w:hAnsi="Times New Roman" w:cs="Times New Roman"/>
          <w:b/>
          <w:bCs/>
          <w:i/>
          <w:iCs/>
          <w:sz w:val="18"/>
          <w:szCs w:val="18"/>
        </w:rPr>
      </w:pPr>
      <w:r w:rsidRPr="00784EE1">
        <w:rPr>
          <w:rFonts w:ascii="Times New Roman" w:hAnsi="Times New Roman" w:cs="Times New Roman"/>
          <w:b/>
          <w:bCs/>
          <w:i/>
          <w:iCs/>
          <w:sz w:val="18"/>
          <w:szCs w:val="18"/>
        </w:rPr>
        <w:t>References:</w:t>
      </w:r>
    </w:p>
    <w:p w14:paraId="51D3096B" w14:textId="77777777" w:rsidR="009A2F48" w:rsidRPr="00802043" w:rsidRDefault="008956C7" w:rsidP="007900BC">
      <w:pPr>
        <w:pStyle w:val="Bibliography"/>
        <w:rPr>
          <w:rFonts w:ascii="Times New Roman" w:hAnsi="Times New Roman" w:cs="Times New Roman"/>
          <w:sz w:val="12"/>
          <w:szCs w:val="12"/>
        </w:rPr>
      </w:pPr>
      <w:r w:rsidRPr="00802043">
        <w:rPr>
          <w:sz w:val="12"/>
          <w:szCs w:val="12"/>
        </w:rPr>
        <w:fldChar w:fldCharType="begin"/>
      </w:r>
      <w:r w:rsidR="009A2F48" w:rsidRPr="00802043">
        <w:rPr>
          <w:sz w:val="12"/>
          <w:szCs w:val="12"/>
        </w:rPr>
        <w:instrText xml:space="preserve"> ADDIN ZOTERO_BIBL {"uncited":[],"omitted":[],"custom":[]} CSL_BIBLIOGRAPHY </w:instrText>
      </w:r>
      <w:r w:rsidRPr="00802043">
        <w:rPr>
          <w:sz w:val="12"/>
          <w:szCs w:val="12"/>
        </w:rPr>
        <w:fldChar w:fldCharType="separate"/>
      </w:r>
      <w:r w:rsidR="009A2F48" w:rsidRPr="00802043">
        <w:rPr>
          <w:rFonts w:ascii="Times New Roman" w:hAnsi="Times New Roman" w:cs="Times New Roman"/>
          <w:sz w:val="12"/>
          <w:szCs w:val="12"/>
        </w:rPr>
        <w:t>[1]</w:t>
      </w:r>
      <w:r w:rsidR="009A2F48" w:rsidRPr="00802043">
        <w:rPr>
          <w:rFonts w:ascii="Times New Roman" w:hAnsi="Times New Roman" w:cs="Times New Roman"/>
          <w:sz w:val="12"/>
          <w:szCs w:val="12"/>
        </w:rPr>
        <w:tab/>
        <w:t>E. Rau, C. Riseng, L. Vaccaro, and J. G. Read, “The Dynamic Great Lakes Economy: Employment Trends From 2009 To 2018”, Accessed: Jul. 11, 2025. [Online]. Available: https://repository.library.noaa.gov/view/noaa/38612</w:t>
      </w:r>
    </w:p>
    <w:p w14:paraId="281D3ECA"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[2]</w:t>
      </w:r>
      <w:r w:rsidRPr="00802043">
        <w:rPr>
          <w:rFonts w:ascii="Times New Roman" w:hAnsi="Times New Roman" w:cs="Times New Roman"/>
          <w:sz w:val="12"/>
          <w:szCs w:val="12"/>
        </w:rPr>
        <w:tab/>
        <w:t xml:space="preserve">J. C. Hudson and S. S. Ziegler, “Environment, Culture, and The Great Lakes Fisheries*,” </w:t>
      </w:r>
      <w:r w:rsidRPr="00802043">
        <w:rPr>
          <w:rFonts w:ascii="Times New Roman" w:hAnsi="Times New Roman" w:cs="Times New Roman"/>
          <w:i/>
          <w:iCs/>
          <w:sz w:val="12"/>
          <w:szCs w:val="12"/>
        </w:rPr>
        <w:t>Geogr. Rev.</w:t>
      </w:r>
      <w:r w:rsidRPr="00802043">
        <w:rPr>
          <w:rFonts w:ascii="Times New Roman" w:hAnsi="Times New Roman" w:cs="Times New Roman"/>
          <w:sz w:val="12"/>
          <w:szCs w:val="12"/>
        </w:rPr>
        <w:t>, vol. 104, no. 4, pp. 391–413, Oct. 2014, doi: 10.1111/j.1931-0846.2014.12041.x.</w:t>
      </w:r>
    </w:p>
    <w:p w14:paraId="04FE9AF6"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[3]</w:t>
      </w:r>
      <w:r w:rsidRPr="00802043">
        <w:rPr>
          <w:rFonts w:ascii="Times New Roman" w:hAnsi="Times New Roman" w:cs="Times New Roman"/>
          <w:sz w:val="12"/>
          <w:szCs w:val="12"/>
        </w:rPr>
        <w:tab/>
        <w:t xml:space="preserve">G. Pu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“The Great Lakes Winter Grab: Limnological data from a multi-institutional winter sampling campaign on the Laurentian Great Lakes,” </w:t>
      </w:r>
      <w:r w:rsidRPr="00802043">
        <w:rPr>
          <w:rFonts w:ascii="Times New Roman" w:hAnsi="Times New Roman" w:cs="Times New Roman"/>
          <w:i/>
          <w:iCs/>
          <w:sz w:val="12"/>
          <w:szCs w:val="12"/>
        </w:rPr>
        <w:t>Limnol. Oceanogr. Lett.</w:t>
      </w:r>
      <w:r w:rsidRPr="00802043">
        <w:rPr>
          <w:rFonts w:ascii="Times New Roman" w:hAnsi="Times New Roman" w:cs="Times New Roman"/>
          <w:sz w:val="12"/>
          <w:szCs w:val="12"/>
        </w:rPr>
        <w:t>, vol. 10, no. 1, pp. 37–61, 2025, doi: 10.1002/lol2.10447.</w:t>
      </w:r>
    </w:p>
    <w:p w14:paraId="368B7F19"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[4]</w:t>
      </w:r>
      <w:r w:rsidRPr="00802043">
        <w:rPr>
          <w:rFonts w:ascii="Times New Roman" w:hAnsi="Times New Roman" w:cs="Times New Roman"/>
          <w:sz w:val="12"/>
          <w:szCs w:val="12"/>
        </w:rPr>
        <w:tab/>
        <w:t xml:space="preserve">S. E. Hampton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“Ecology under lake ice,” </w:t>
      </w:r>
      <w:r w:rsidRPr="00802043">
        <w:rPr>
          <w:rFonts w:ascii="Times New Roman" w:hAnsi="Times New Roman" w:cs="Times New Roman"/>
          <w:i/>
          <w:iCs/>
          <w:sz w:val="12"/>
          <w:szCs w:val="12"/>
        </w:rPr>
        <w:t>Ecol. Lett.</w:t>
      </w:r>
      <w:r w:rsidRPr="00802043">
        <w:rPr>
          <w:rFonts w:ascii="Times New Roman" w:hAnsi="Times New Roman" w:cs="Times New Roman"/>
          <w:sz w:val="12"/>
          <w:szCs w:val="12"/>
        </w:rPr>
        <w:t>, vol. 20, no. 1, pp. 98–111, 2017, doi: 10.1111/ele.12699.</w:t>
      </w:r>
    </w:p>
    <w:p w14:paraId="2097B09C"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[5]</w:t>
      </w:r>
      <w:r w:rsidRPr="00802043">
        <w:rPr>
          <w:rFonts w:ascii="Times New Roman" w:hAnsi="Times New Roman" w:cs="Times New Roman"/>
          <w:sz w:val="12"/>
          <w:szCs w:val="12"/>
        </w:rPr>
        <w:tab/>
        <w:t xml:space="preserve">D. Özkundakci, A. S. Gsell, T. Hintze, H. Täuscher, and R. Adrian, “Winter severity determines functional trait composition of phytoplankton in seasonally ice-covered lakes,” </w:t>
      </w:r>
      <w:r w:rsidRPr="00802043">
        <w:rPr>
          <w:rFonts w:ascii="Times New Roman" w:hAnsi="Times New Roman" w:cs="Times New Roman"/>
          <w:i/>
          <w:iCs/>
          <w:sz w:val="12"/>
          <w:szCs w:val="12"/>
        </w:rPr>
        <w:t>Glob. Change Biol.</w:t>
      </w:r>
      <w:r w:rsidRPr="00802043">
        <w:rPr>
          <w:rFonts w:ascii="Times New Roman" w:hAnsi="Times New Roman" w:cs="Times New Roman"/>
          <w:sz w:val="12"/>
          <w:szCs w:val="12"/>
        </w:rPr>
        <w:t>, vol. 22, no. 1, pp. 284–298, 2016, doi: 10.1111/gcb.13085.</w:t>
      </w:r>
    </w:p>
    <w:p w14:paraId="765F11EE"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[6]</w:t>
      </w:r>
      <w:r w:rsidRPr="00802043">
        <w:rPr>
          <w:rFonts w:ascii="Times New Roman" w:hAnsi="Times New Roman" w:cs="Times New Roman"/>
          <w:sz w:val="12"/>
          <w:szCs w:val="12"/>
        </w:rPr>
        <w:tab/>
        <w:t xml:space="preserve">U. Sommer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“Beyond the Plankton Ecology Group (PEG) Model: Mechanisms Driving Plankton Succession,” </w:t>
      </w:r>
      <w:r w:rsidRPr="00802043">
        <w:rPr>
          <w:rFonts w:ascii="Times New Roman" w:hAnsi="Times New Roman" w:cs="Times New Roman"/>
          <w:i/>
          <w:iCs/>
          <w:sz w:val="12"/>
          <w:szCs w:val="12"/>
        </w:rPr>
        <w:t>Annu. Rev. Ecol. Evol. Syst.</w:t>
      </w:r>
      <w:r w:rsidRPr="00802043">
        <w:rPr>
          <w:rFonts w:ascii="Times New Roman" w:hAnsi="Times New Roman" w:cs="Times New Roman"/>
          <w:sz w:val="12"/>
          <w:szCs w:val="12"/>
        </w:rPr>
        <w:t>, vol. 43, no. Volume 43, 2012, pp. 429–448, Dec. 2012, doi: 10.1146/annurev-ecolsys-110411-160251.</w:t>
      </w:r>
    </w:p>
    <w:p w14:paraId="383FDFAE"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[7]</w:t>
      </w:r>
      <w:r w:rsidRPr="00802043">
        <w:rPr>
          <w:rFonts w:ascii="Times New Roman" w:hAnsi="Times New Roman" w:cs="Times New Roman"/>
          <w:sz w:val="12"/>
          <w:szCs w:val="12"/>
        </w:rPr>
        <w:tab/>
        <w:t xml:space="preserve">Z. Wen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“Variability of chlorophyll and the influence factors during winter in seasonally ice-covered lakes,” </w:t>
      </w:r>
      <w:r w:rsidRPr="00802043">
        <w:rPr>
          <w:rFonts w:ascii="Times New Roman" w:hAnsi="Times New Roman" w:cs="Times New Roman"/>
          <w:i/>
          <w:iCs/>
          <w:sz w:val="12"/>
          <w:szCs w:val="12"/>
        </w:rPr>
        <w:t>J. Environ. Manage.</w:t>
      </w:r>
      <w:r w:rsidRPr="00802043">
        <w:rPr>
          <w:rFonts w:ascii="Times New Roman" w:hAnsi="Times New Roman" w:cs="Times New Roman"/>
          <w:sz w:val="12"/>
          <w:szCs w:val="12"/>
        </w:rPr>
        <w:t>, vol. 276, p. 111338, Dec. 2020, doi: 10.1016/j.jenvman.2020.111338.</w:t>
      </w:r>
    </w:p>
    <w:p w14:paraId="0574F8BF"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[8]</w:t>
      </w:r>
      <w:r w:rsidRPr="00802043">
        <w:rPr>
          <w:rFonts w:ascii="Times New Roman" w:hAnsi="Times New Roman" w:cs="Times New Roman"/>
          <w:sz w:val="12"/>
          <w:szCs w:val="12"/>
        </w:rPr>
        <w:tab/>
        <w:t xml:space="preserve">H. E. Adams, B. C. Crump, and G. W. Kling, “Metacommunity dynamics of bacteria in an arctic lake: the impact of species sorting and mass effects on bacterial production and biogeography,” </w:t>
      </w:r>
      <w:r w:rsidRPr="00802043">
        <w:rPr>
          <w:rFonts w:ascii="Times New Roman" w:hAnsi="Times New Roman" w:cs="Times New Roman"/>
          <w:i/>
          <w:iCs/>
          <w:sz w:val="12"/>
          <w:szCs w:val="12"/>
        </w:rPr>
        <w:t>Front. Microbiol.</w:t>
      </w:r>
      <w:r w:rsidRPr="00802043">
        <w:rPr>
          <w:rFonts w:ascii="Times New Roman" w:hAnsi="Times New Roman" w:cs="Times New Roman"/>
          <w:sz w:val="12"/>
          <w:szCs w:val="12"/>
        </w:rPr>
        <w:t>, vol. 5, Mar. 2014, doi: 10.3389/fmicb.2014.00082.</w:t>
      </w:r>
    </w:p>
    <w:p w14:paraId="73776564"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[9]</w:t>
      </w:r>
      <w:r w:rsidRPr="00802043">
        <w:rPr>
          <w:rFonts w:ascii="Times New Roman" w:hAnsi="Times New Roman" w:cs="Times New Roman"/>
          <w:sz w:val="12"/>
          <w:szCs w:val="12"/>
        </w:rPr>
        <w:tab/>
        <w:t xml:space="preserve">G. Michoud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“Mapping the metagenomic diversity of the multi-kingdom glacier-fed stream microbiome,” </w:t>
      </w:r>
      <w:r w:rsidRPr="00802043">
        <w:rPr>
          <w:rFonts w:ascii="Times New Roman" w:hAnsi="Times New Roman" w:cs="Times New Roman"/>
          <w:i/>
          <w:iCs/>
          <w:sz w:val="12"/>
          <w:szCs w:val="12"/>
        </w:rPr>
        <w:t>Nat. Microbiol.</w:t>
      </w:r>
      <w:r w:rsidRPr="00802043">
        <w:rPr>
          <w:rFonts w:ascii="Times New Roman" w:hAnsi="Times New Roman" w:cs="Times New Roman"/>
          <w:sz w:val="12"/>
          <w:szCs w:val="12"/>
        </w:rPr>
        <w:t>, vol. 10, no. 1, pp. 217–230, Jan. 2025, doi: 10.1038/s41564-024-01874-9.</w:t>
      </w:r>
    </w:p>
    <w:p w14:paraId="46799B66"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[10]</w:t>
      </w:r>
      <w:r w:rsidRPr="00802043">
        <w:rPr>
          <w:rFonts w:ascii="Times New Roman" w:hAnsi="Times New Roman" w:cs="Times New Roman"/>
          <w:sz w:val="12"/>
          <w:szCs w:val="12"/>
        </w:rPr>
        <w:tab/>
        <w:t>“Global emergent responses of stream microbial metabolism to glacier shrinkage | Nature Geoscience.” Accessed: Jul. 14, 2025. [Online]. Available: https://www.nature.com/articles/s41561-024-01393-6</w:t>
      </w:r>
    </w:p>
    <w:p w14:paraId="424B6B73"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[11]</w:t>
      </w:r>
      <w:r w:rsidRPr="00802043">
        <w:rPr>
          <w:rFonts w:ascii="Times New Roman" w:hAnsi="Times New Roman" w:cs="Times New Roman"/>
          <w:sz w:val="12"/>
          <w:szCs w:val="12"/>
        </w:rPr>
        <w:tab/>
        <w:t xml:space="preserve">X. A. G. Morán </w:t>
      </w:r>
      <w:r w:rsidRPr="00802043">
        <w:rPr>
          <w:rFonts w:ascii="Times New Roman" w:hAnsi="Times New Roman" w:cs="Times New Roman"/>
          <w:i/>
          <w:iCs/>
          <w:sz w:val="12"/>
          <w:szCs w:val="12"/>
        </w:rPr>
        <w:t>et al.</w:t>
      </w:r>
      <w:r w:rsidRPr="00802043">
        <w:rPr>
          <w:rFonts w:ascii="Times New Roman" w:hAnsi="Times New Roman" w:cs="Times New Roman"/>
          <w:sz w:val="12"/>
          <w:szCs w:val="12"/>
        </w:rPr>
        <w:t xml:space="preserve">, “More, smaller bacteria in response to ocean’s warming?,” </w:t>
      </w:r>
      <w:r w:rsidRPr="00802043">
        <w:rPr>
          <w:rFonts w:ascii="Times New Roman" w:hAnsi="Times New Roman" w:cs="Times New Roman"/>
          <w:i/>
          <w:iCs/>
          <w:sz w:val="12"/>
          <w:szCs w:val="12"/>
        </w:rPr>
        <w:t>Proc. R. Soc. B Biol. Sci.</w:t>
      </w:r>
      <w:r w:rsidRPr="00802043">
        <w:rPr>
          <w:rFonts w:ascii="Times New Roman" w:hAnsi="Times New Roman" w:cs="Times New Roman"/>
          <w:sz w:val="12"/>
          <w:szCs w:val="12"/>
        </w:rPr>
        <w:t>, vol. 282, no. 1810, p. 20150371, Jul. 2015, doi: 10.1098/rspb.2015.0371.</w:t>
      </w:r>
    </w:p>
    <w:p w14:paraId="6265FAFC"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[12]</w:t>
      </w:r>
      <w:r w:rsidRPr="00802043">
        <w:rPr>
          <w:rFonts w:ascii="Times New Roman" w:hAnsi="Times New Roman" w:cs="Times New Roman"/>
          <w:sz w:val="12"/>
          <w:szCs w:val="12"/>
        </w:rPr>
        <w:tab/>
        <w:t xml:space="preserve">J. B. Cotner, E. K. Hall, T. Scott, and M. Heldal, “Freshwater Bacteria are Stoichiometrically Flexible with a Nutrient Composition Similar to Seston,” </w:t>
      </w:r>
      <w:r w:rsidRPr="00802043">
        <w:rPr>
          <w:rFonts w:ascii="Times New Roman" w:hAnsi="Times New Roman" w:cs="Times New Roman"/>
          <w:i/>
          <w:iCs/>
          <w:sz w:val="12"/>
          <w:szCs w:val="12"/>
        </w:rPr>
        <w:t>Front. Microbiol.</w:t>
      </w:r>
      <w:r w:rsidRPr="00802043">
        <w:rPr>
          <w:rFonts w:ascii="Times New Roman" w:hAnsi="Times New Roman" w:cs="Times New Roman"/>
          <w:sz w:val="12"/>
          <w:szCs w:val="12"/>
        </w:rPr>
        <w:t>, vol. 1, Dec. 2010, doi: 10.3389/fmicb.2010.00132.</w:t>
      </w:r>
    </w:p>
    <w:p w14:paraId="7D5A7813"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[13]</w:t>
      </w:r>
      <w:r w:rsidRPr="00802043">
        <w:rPr>
          <w:rFonts w:ascii="Times New Roman" w:hAnsi="Times New Roman" w:cs="Times New Roman"/>
          <w:sz w:val="12"/>
          <w:szCs w:val="12"/>
        </w:rPr>
        <w:tab/>
        <w:t xml:space="preserve">C. M. Godwin and J. B. Cotner, “Stoichiometric flexibility in diverse aquatic heterotrophic bacteria is coupled to differences in cellular phosphorus quotas,” </w:t>
      </w:r>
      <w:r w:rsidRPr="00802043">
        <w:rPr>
          <w:rFonts w:ascii="Times New Roman" w:hAnsi="Times New Roman" w:cs="Times New Roman"/>
          <w:i/>
          <w:iCs/>
          <w:sz w:val="12"/>
          <w:szCs w:val="12"/>
        </w:rPr>
        <w:t>Front. Microbiol.</w:t>
      </w:r>
      <w:r w:rsidRPr="00802043">
        <w:rPr>
          <w:rFonts w:ascii="Times New Roman" w:hAnsi="Times New Roman" w:cs="Times New Roman"/>
          <w:sz w:val="12"/>
          <w:szCs w:val="12"/>
        </w:rPr>
        <w:t>, vol. 6, Feb. 2015, doi: 10.3389/fmicb.2015.00159.</w:t>
      </w:r>
    </w:p>
    <w:p w14:paraId="12BD6BA3"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[14]</w:t>
      </w:r>
      <w:r w:rsidRPr="00802043">
        <w:rPr>
          <w:rFonts w:ascii="Times New Roman" w:hAnsi="Times New Roman" w:cs="Times New Roman"/>
          <w:sz w:val="12"/>
          <w:szCs w:val="12"/>
        </w:rPr>
        <w:tab/>
        <w:t>“Global Change Biology - 2018 - Creed - Global change‐driven effects on dissolved organic matter composition Implications (1).pdf,” Google Docs. Accessed: Jul. 11, 2025. [Online]. Available: https://drive.google.com/file/d/1KbxTHAGoV_vm-eiIJz7KaVglZzLbarnI/view?usp=sharing&amp;usp=embed_facebook</w:t>
      </w:r>
    </w:p>
    <w:p w14:paraId="07D71413"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[15]</w:t>
      </w:r>
      <w:r w:rsidRPr="00802043">
        <w:rPr>
          <w:rFonts w:ascii="Times New Roman" w:hAnsi="Times New Roman" w:cs="Times New Roman"/>
          <w:sz w:val="12"/>
          <w:szCs w:val="12"/>
        </w:rPr>
        <w:tab/>
        <w:t>“A test of the subsidy–stability hypothesis: the effects of terrestrial carbon in aquatic ecosystems - Jones - 2015 - Ecology - Wiley Online Library.” Accessed: Jul. 14, 2025. [Online]. Available: https://esajournals.onlinelibrary.wiley.com/doi/10.1890/14-1783.1</w:t>
      </w:r>
    </w:p>
    <w:p w14:paraId="6129D7CB" w14:textId="77777777" w:rsidR="009A2F48" w:rsidRPr="00802043" w:rsidRDefault="009A2F48" w:rsidP="007900BC">
      <w:pPr>
        <w:pStyle w:val="Bibliography"/>
        <w:rPr>
          <w:rFonts w:ascii="Times New Roman" w:hAnsi="Times New Roman" w:cs="Times New Roman"/>
          <w:sz w:val="12"/>
          <w:szCs w:val="12"/>
        </w:rPr>
      </w:pPr>
      <w:r w:rsidRPr="00802043">
        <w:rPr>
          <w:rFonts w:ascii="Times New Roman" w:hAnsi="Times New Roman" w:cs="Times New Roman"/>
          <w:sz w:val="12"/>
          <w:szCs w:val="12"/>
        </w:rPr>
        <w:t>[16]</w:t>
      </w:r>
      <w:r w:rsidRPr="00802043">
        <w:rPr>
          <w:rFonts w:ascii="Times New Roman" w:hAnsi="Times New Roman" w:cs="Times New Roman"/>
          <w:sz w:val="12"/>
          <w:szCs w:val="12"/>
        </w:rPr>
        <w:tab/>
        <w:t xml:space="preserve">K. N. Phillips, C. M. Godwin, and J. B. Cotner, “The Effects of Nutrient Imbalances and Temperature on the Biomass Stoichiometry of Freshwater Bacteria,” </w:t>
      </w:r>
      <w:r w:rsidRPr="00802043">
        <w:rPr>
          <w:rFonts w:ascii="Times New Roman" w:hAnsi="Times New Roman" w:cs="Times New Roman"/>
          <w:i/>
          <w:iCs/>
          <w:sz w:val="12"/>
          <w:szCs w:val="12"/>
        </w:rPr>
        <w:t>Front. Microbiol.</w:t>
      </w:r>
      <w:r w:rsidRPr="00802043">
        <w:rPr>
          <w:rFonts w:ascii="Times New Roman" w:hAnsi="Times New Roman" w:cs="Times New Roman"/>
          <w:sz w:val="12"/>
          <w:szCs w:val="12"/>
        </w:rPr>
        <w:t>, vol. 8, Sep. 2017, doi: 10.3389/fmicb.2017.01692.</w:t>
      </w:r>
    </w:p>
    <w:p w14:paraId="65E47CBE" w14:textId="011AB937"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205AC"/>
    <w:rsid w:val="00031C20"/>
    <w:rsid w:val="00035CB5"/>
    <w:rsid w:val="00037DFF"/>
    <w:rsid w:val="0004003A"/>
    <w:rsid w:val="0004009E"/>
    <w:rsid w:val="00052CE7"/>
    <w:rsid w:val="00074584"/>
    <w:rsid w:val="00082036"/>
    <w:rsid w:val="00087473"/>
    <w:rsid w:val="00091910"/>
    <w:rsid w:val="00094B6E"/>
    <w:rsid w:val="000C678C"/>
    <w:rsid w:val="000D6203"/>
    <w:rsid w:val="00111B10"/>
    <w:rsid w:val="00130CD4"/>
    <w:rsid w:val="0013487F"/>
    <w:rsid w:val="0014673B"/>
    <w:rsid w:val="00153CC9"/>
    <w:rsid w:val="00160E1A"/>
    <w:rsid w:val="00167B5E"/>
    <w:rsid w:val="001924CD"/>
    <w:rsid w:val="001B09F5"/>
    <w:rsid w:val="001B54D9"/>
    <w:rsid w:val="001C1C51"/>
    <w:rsid w:val="001C46F5"/>
    <w:rsid w:val="001C5A72"/>
    <w:rsid w:val="001D23DC"/>
    <w:rsid w:val="001D7355"/>
    <w:rsid w:val="001E1F87"/>
    <w:rsid w:val="001E3771"/>
    <w:rsid w:val="001F437C"/>
    <w:rsid w:val="001F7B34"/>
    <w:rsid w:val="00206F40"/>
    <w:rsid w:val="00216DA8"/>
    <w:rsid w:val="0022492E"/>
    <w:rsid w:val="002273DE"/>
    <w:rsid w:val="002314C7"/>
    <w:rsid w:val="00235F87"/>
    <w:rsid w:val="002435C6"/>
    <w:rsid w:val="00243EFA"/>
    <w:rsid w:val="00250FCF"/>
    <w:rsid w:val="00270349"/>
    <w:rsid w:val="0028640B"/>
    <w:rsid w:val="002B03D1"/>
    <w:rsid w:val="002B0B53"/>
    <w:rsid w:val="002B3875"/>
    <w:rsid w:val="002C6D48"/>
    <w:rsid w:val="002D396D"/>
    <w:rsid w:val="002E1CA9"/>
    <w:rsid w:val="002E3C62"/>
    <w:rsid w:val="002F5830"/>
    <w:rsid w:val="002F7E62"/>
    <w:rsid w:val="00311358"/>
    <w:rsid w:val="0031237F"/>
    <w:rsid w:val="0033258F"/>
    <w:rsid w:val="003442DE"/>
    <w:rsid w:val="003511CA"/>
    <w:rsid w:val="00373FBC"/>
    <w:rsid w:val="00396955"/>
    <w:rsid w:val="003C34A1"/>
    <w:rsid w:val="003E2783"/>
    <w:rsid w:val="003E3E04"/>
    <w:rsid w:val="00415A6A"/>
    <w:rsid w:val="00425C41"/>
    <w:rsid w:val="00431A50"/>
    <w:rsid w:val="004332B2"/>
    <w:rsid w:val="0044059F"/>
    <w:rsid w:val="004713F8"/>
    <w:rsid w:val="00472C7D"/>
    <w:rsid w:val="00490519"/>
    <w:rsid w:val="004A1143"/>
    <w:rsid w:val="004B5C39"/>
    <w:rsid w:val="004B75D6"/>
    <w:rsid w:val="004C5C07"/>
    <w:rsid w:val="004D5BE1"/>
    <w:rsid w:val="004E7DF6"/>
    <w:rsid w:val="004E7F49"/>
    <w:rsid w:val="004F037F"/>
    <w:rsid w:val="004F7C96"/>
    <w:rsid w:val="0050017F"/>
    <w:rsid w:val="005005AA"/>
    <w:rsid w:val="00515DDA"/>
    <w:rsid w:val="0051784F"/>
    <w:rsid w:val="005270E8"/>
    <w:rsid w:val="00531526"/>
    <w:rsid w:val="005418A0"/>
    <w:rsid w:val="00551B65"/>
    <w:rsid w:val="005545BD"/>
    <w:rsid w:val="00564E53"/>
    <w:rsid w:val="00583B60"/>
    <w:rsid w:val="00590CFC"/>
    <w:rsid w:val="005936D3"/>
    <w:rsid w:val="005A179C"/>
    <w:rsid w:val="005A336E"/>
    <w:rsid w:val="005A3913"/>
    <w:rsid w:val="005A57C2"/>
    <w:rsid w:val="005A7FB2"/>
    <w:rsid w:val="005C615C"/>
    <w:rsid w:val="005E1CC5"/>
    <w:rsid w:val="005F09C4"/>
    <w:rsid w:val="00601D1C"/>
    <w:rsid w:val="006046A7"/>
    <w:rsid w:val="00605E9C"/>
    <w:rsid w:val="006162DF"/>
    <w:rsid w:val="0062675D"/>
    <w:rsid w:val="00641017"/>
    <w:rsid w:val="006525C1"/>
    <w:rsid w:val="00652F19"/>
    <w:rsid w:val="0066542B"/>
    <w:rsid w:val="00674689"/>
    <w:rsid w:val="00683FFD"/>
    <w:rsid w:val="006960FD"/>
    <w:rsid w:val="00697F71"/>
    <w:rsid w:val="006A3248"/>
    <w:rsid w:val="006B10FE"/>
    <w:rsid w:val="006C0135"/>
    <w:rsid w:val="006E0B51"/>
    <w:rsid w:val="006E1694"/>
    <w:rsid w:val="006F205B"/>
    <w:rsid w:val="006F6206"/>
    <w:rsid w:val="0070282B"/>
    <w:rsid w:val="00714CDE"/>
    <w:rsid w:val="00716C39"/>
    <w:rsid w:val="00723DF4"/>
    <w:rsid w:val="00745C3B"/>
    <w:rsid w:val="0075386B"/>
    <w:rsid w:val="00753CDF"/>
    <w:rsid w:val="007579DA"/>
    <w:rsid w:val="00766DF0"/>
    <w:rsid w:val="007735D9"/>
    <w:rsid w:val="007774DD"/>
    <w:rsid w:val="00780FE3"/>
    <w:rsid w:val="00783736"/>
    <w:rsid w:val="00784EE1"/>
    <w:rsid w:val="007900BC"/>
    <w:rsid w:val="007A10FB"/>
    <w:rsid w:val="007A79A3"/>
    <w:rsid w:val="007A7CDF"/>
    <w:rsid w:val="007D36C5"/>
    <w:rsid w:val="007E67B2"/>
    <w:rsid w:val="00800C32"/>
    <w:rsid w:val="00802043"/>
    <w:rsid w:val="00803D18"/>
    <w:rsid w:val="00826C9D"/>
    <w:rsid w:val="00830F82"/>
    <w:rsid w:val="008340F5"/>
    <w:rsid w:val="008359CB"/>
    <w:rsid w:val="008464EE"/>
    <w:rsid w:val="0085059D"/>
    <w:rsid w:val="0086023D"/>
    <w:rsid w:val="008724DF"/>
    <w:rsid w:val="0089079E"/>
    <w:rsid w:val="008956C7"/>
    <w:rsid w:val="00895F80"/>
    <w:rsid w:val="008B4BC9"/>
    <w:rsid w:val="008B670A"/>
    <w:rsid w:val="008B73C6"/>
    <w:rsid w:val="008C73BC"/>
    <w:rsid w:val="008E0873"/>
    <w:rsid w:val="008E2D0B"/>
    <w:rsid w:val="00905B15"/>
    <w:rsid w:val="00921738"/>
    <w:rsid w:val="009313F9"/>
    <w:rsid w:val="0095139D"/>
    <w:rsid w:val="009522C9"/>
    <w:rsid w:val="009A10C9"/>
    <w:rsid w:val="009A2F48"/>
    <w:rsid w:val="009A3FDE"/>
    <w:rsid w:val="009A45D2"/>
    <w:rsid w:val="009B3C7A"/>
    <w:rsid w:val="009C464E"/>
    <w:rsid w:val="009D3DFC"/>
    <w:rsid w:val="00A00135"/>
    <w:rsid w:val="00A03370"/>
    <w:rsid w:val="00A26FF5"/>
    <w:rsid w:val="00A27B61"/>
    <w:rsid w:val="00A32F24"/>
    <w:rsid w:val="00A3300F"/>
    <w:rsid w:val="00A42B67"/>
    <w:rsid w:val="00A65A84"/>
    <w:rsid w:val="00A662B3"/>
    <w:rsid w:val="00A73D40"/>
    <w:rsid w:val="00A779F7"/>
    <w:rsid w:val="00A825D0"/>
    <w:rsid w:val="00AD1CAB"/>
    <w:rsid w:val="00B03F17"/>
    <w:rsid w:val="00B148F5"/>
    <w:rsid w:val="00B155BE"/>
    <w:rsid w:val="00B17D99"/>
    <w:rsid w:val="00B45D8C"/>
    <w:rsid w:val="00B80451"/>
    <w:rsid w:val="00B83A4C"/>
    <w:rsid w:val="00B91515"/>
    <w:rsid w:val="00B95F5E"/>
    <w:rsid w:val="00BA533A"/>
    <w:rsid w:val="00BA6B6B"/>
    <w:rsid w:val="00BA6DB8"/>
    <w:rsid w:val="00BB1DEA"/>
    <w:rsid w:val="00BB3BFD"/>
    <w:rsid w:val="00BB792E"/>
    <w:rsid w:val="00BC25C4"/>
    <w:rsid w:val="00BC6ADD"/>
    <w:rsid w:val="00BF098F"/>
    <w:rsid w:val="00C3728D"/>
    <w:rsid w:val="00C60308"/>
    <w:rsid w:val="00C63F50"/>
    <w:rsid w:val="00C715D8"/>
    <w:rsid w:val="00C77016"/>
    <w:rsid w:val="00C953A3"/>
    <w:rsid w:val="00CA5990"/>
    <w:rsid w:val="00CF09DE"/>
    <w:rsid w:val="00CF721C"/>
    <w:rsid w:val="00D0485B"/>
    <w:rsid w:val="00D13DF2"/>
    <w:rsid w:val="00D53077"/>
    <w:rsid w:val="00D56E0F"/>
    <w:rsid w:val="00D6357B"/>
    <w:rsid w:val="00D750BC"/>
    <w:rsid w:val="00D93858"/>
    <w:rsid w:val="00D93EA8"/>
    <w:rsid w:val="00D95939"/>
    <w:rsid w:val="00D969EF"/>
    <w:rsid w:val="00D975A4"/>
    <w:rsid w:val="00DB6B82"/>
    <w:rsid w:val="00DC49C9"/>
    <w:rsid w:val="00DC4AAC"/>
    <w:rsid w:val="00DE2EE7"/>
    <w:rsid w:val="00DE745C"/>
    <w:rsid w:val="00E00A71"/>
    <w:rsid w:val="00E06B2F"/>
    <w:rsid w:val="00E12558"/>
    <w:rsid w:val="00E129FF"/>
    <w:rsid w:val="00E26B92"/>
    <w:rsid w:val="00E67013"/>
    <w:rsid w:val="00E76531"/>
    <w:rsid w:val="00EB0546"/>
    <w:rsid w:val="00EE243B"/>
    <w:rsid w:val="00EE54A0"/>
    <w:rsid w:val="00EF2C30"/>
    <w:rsid w:val="00EF63B0"/>
    <w:rsid w:val="00F0528A"/>
    <w:rsid w:val="00F262C5"/>
    <w:rsid w:val="00F2763E"/>
    <w:rsid w:val="00F312E7"/>
    <w:rsid w:val="00F357A1"/>
    <w:rsid w:val="00F37CC3"/>
    <w:rsid w:val="00F41EFB"/>
    <w:rsid w:val="00F5242A"/>
    <w:rsid w:val="00F6431A"/>
    <w:rsid w:val="00F668C4"/>
    <w:rsid w:val="00F77381"/>
    <w:rsid w:val="00FA7CBE"/>
    <w:rsid w:val="00FB2DC7"/>
    <w:rsid w:val="00FD3F1C"/>
    <w:rsid w:val="00FE51D5"/>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7642</Words>
  <Characters>45092</Characters>
  <Application>Microsoft Office Word</Application>
  <DocSecurity>0</DocSecurity>
  <Lines>549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79</cp:revision>
  <dcterms:created xsi:type="dcterms:W3CDTF">2025-07-15T15:51:00Z</dcterms:created>
  <dcterms:modified xsi:type="dcterms:W3CDTF">2025-07-15T17:07:00Z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id="cz8HOaSS"/&gt;&lt;style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