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B2E4B"/>
          <w:spacing w:val="40"/>
          <w:sz w:val="56"/>
          <w:szCs w:val="56"/>
        </w:rPr>
        <w:t xml:space="preserve">COLTON RILEY</w:t>
      </w:r>
      <w:r>
        <w:rPr>
          <w:rFonts w:ascii="Calibri" w:cs="Calibri" w:eastAsia="Calibri" w:hAnsi="Calibri"/>
          <w:b w:val="false"/>
          <w:bCs w:val="false"/>
          <w:color w:val="64748B"/>
          <w:sz w:val="28"/>
          <w:szCs w:val="28"/>
        </w:rPr>
        <w:t xml:space="preserve">  MBA</w:t>
      </w:r>
    </w:p>
    <w:p>
      <w:pPr>
        <w:spacing w:after="40" w:before="0"/>
      </w:pPr>
      <w:r>
        <w:rPr>
          <w:rFonts w:ascii="Calibri" w:cs="Calibri" w:eastAsia="Calibri" w:hAnsi="Calibri"/>
          <w:i/>
          <w:iCs/>
          <w:color w:val="64748B"/>
          <w:sz w:val="22"/>
          <w:szCs w:val="22"/>
        </w:rPr>
        <w:t xml:space="preserve">Senior Data &amp; Analytics Leader  |  Sales Compensation Strategy  |  AI Implementation</w:t>
      </w:r>
    </w:p>
    <w:p>
      <w:pPr>
        <w:tabs>
          <w:tab w:val="left" w:pos="2200"/>
          <w:tab w:val="left" w:pos="4800"/>
          <w:tab w:val="left" w:pos="7400"/>
        </w:tabs>
        <w:spacing w:after="0" w:before="40"/>
      </w:pPr>
      <w:r>
        <w:rPr>
          <w:rFonts w:ascii="Calibri" w:cs="Calibri" w:eastAsia="Calibri" w:hAnsi="Calibri"/>
          <w:color w:val="64748B"/>
          <w:sz w:val="18"/>
          <w:szCs w:val="18"/>
        </w:rPr>
        <w:t xml:space="preserve">📍 Stamford, CT</w:t>
      </w:r>
      <w:r>
        <w:rPr>
          <w:rFonts w:ascii="Calibri" w:cs="Calibri" w:eastAsia="Calibri" w:hAnsi="Calibri"/>
        </w:rPr>
        <w:t xml:space="preserve">	</w:t>
      </w:r>
      <w:r>
        <w:rPr>
          <w:rFonts w:ascii="Calibri" w:cs="Calibri" w:eastAsia="Calibri" w:hAnsi="Calibri"/>
          <w:color w:val="2563EB"/>
          <w:sz w:val="18"/>
          <w:szCs w:val="18"/>
        </w:rPr>
        <w:t xml:space="preserve">✉  cr@coltonriley.com</w:t>
      </w:r>
      <w:r>
        <w:rPr>
          <w:rFonts w:ascii="Calibri" w:cs="Calibri" w:eastAsia="Calibri" w:hAnsi="Calibri"/>
        </w:rPr>
        <w:t xml:space="preserve">	</w:t>
      </w:r>
      <w:r>
        <w:rPr>
          <w:rFonts w:ascii="Calibri" w:cs="Calibri" w:eastAsia="Calibri" w:hAnsi="Calibri"/>
          <w:color w:val="64748B"/>
          <w:sz w:val="18"/>
          <w:szCs w:val="18"/>
        </w:rPr>
        <w:t xml:space="preserve">📞 (203) 257-3084</w:t>
      </w:r>
      <w:r>
        <w:rPr>
          <w:rFonts w:ascii="Calibri" w:cs="Calibri" w:eastAsia="Calibri" w:hAnsi="Calibri"/>
        </w:rPr>
        <w:t xml:space="preserve">	</w:t>
      </w:r>
      <w:r>
        <w:rPr>
          <w:rFonts w:ascii="Calibri" w:cs="Calibri" w:eastAsia="Calibri" w:hAnsi="Calibri"/>
          <w:color w:val="2563EB"/>
          <w:sz w:val="18"/>
          <w:szCs w:val="18"/>
        </w:rPr>
        <w:t xml:space="preserve">🔗 linkedin.com/in/coltonriley</w:t>
      </w:r>
    </w:p>
    <w:p>
      <w:pPr>
        <w:spacing w:after="0" w:before="80"/>
      </w:pPr>
      <w:r>
        <w:t xml:space="preserve"/>
      </w:r>
    </w:p>
    <w:p>
      <w:pPr>
        <w:pBdr>
          <w:bottom w:val="single" w:color="1B2E4B" w:sz="16"/>
        </w:pBdr>
        <w:spacing w:after="0" w:before="0"/>
      </w:pPr>
      <w:r>
        <w:t xml:space="preserve"/>
      </w:r>
    </w:p>
    <w:p>
      <w:pPr>
        <w:pBdr>
          <w:bottom w:val="single" w:color="2563EB" w:sz="4"/>
        </w:pBdr>
        <w:spacing w:after="0" w:before="0"/>
      </w:pPr>
      <w:r>
        <w:t xml:space="preserve"/>
      </w:r>
    </w:p>
    <w:p>
      <w:pPr>
        <w:spacing w:after="0" w:before="160"/>
      </w:pPr>
      <w:r>
        <w:t xml:space="preserve"/>
      </w:r>
    </w:p>
    <w:p>
      <w:pPr>
        <w:spacing w:after="60" w:before="0"/>
      </w:pPr>
      <w:r>
        <w:rPr>
          <w:rFonts w:ascii="Calibri" w:cs="Calibri" w:eastAsia="Calibri" w:hAnsi="Calibri"/>
          <w:b/>
          <w:bCs/>
          <w:color w:val="2563EB"/>
          <w:spacing w:val="60"/>
          <w:sz w:val="20"/>
          <w:szCs w:val="20"/>
        </w:rPr>
        <w:t xml:space="preserve">EXECUTIVE SUMMARY</w:t>
      </w:r>
    </w:p>
    <w:p>
      <w:pPr>
        <w:pBdr>
          <w:bottom w:val="single" w:color="2563EB" w:sz="4"/>
        </w:pBdr>
        <w:spacing w:after="120" w:before="0"/>
      </w:pPr>
      <w:r>
        <w:t xml:space="preserve"/>
      </w:r>
    </w:p>
    <w:p>
      <w:pPr>
        <w:spacing w:after="80" w:before="0"/>
      </w:pPr>
      <w:r>
        <w:rPr>
          <w:rFonts w:ascii="Calibri" w:cs="Calibri" w:eastAsia="Calibri" w:hAnsi="Calibri"/>
          <w:color w:val="0F172A"/>
          <w:sz w:val="19"/>
          <w:szCs w:val="19"/>
        </w:rPr>
        <w:t xml:space="preserve">Data and analytics leader with 5+ years driving enterprise-scale compensation intelligence at Charter Communications, overseeing the design, implementation, and governance of $1.2B in annual variable compensation across 40,000 payees. As a founding member of the National Incentives team, I helped nationalize a fragmented regional program into a unified, data-driven operation — building the models, dashboards, and processes that now power incentive strategy across all Small Business sales channels. Recently led the team's adoption of Claude AI, AWS, and Kiro to streamline analyst workflows and automate reporting. A thought leader, Excel master, and trusted advisor to Directors, VPs, and SVPs, I am positioned to step into a Sr. Manager or Director role where analytical rigor meets strategic leadership.</w:t>
      </w:r>
    </w:p>
    <w:p>
      <w:pPr>
        <w:spacing w:after="0" w:before="160"/>
      </w:pPr>
      <w:r>
        <w:t xml:space="preserve"/>
      </w:r>
    </w:p>
    <w:p>
      <w:pPr>
        <w:spacing w:after="60" w:before="0"/>
      </w:pPr>
      <w:r>
        <w:rPr>
          <w:rFonts w:ascii="Calibri" w:cs="Calibri" w:eastAsia="Calibri" w:hAnsi="Calibri"/>
          <w:b/>
          <w:bCs/>
          <w:color w:val="2563EB"/>
          <w:spacing w:val="60"/>
          <w:sz w:val="20"/>
          <w:szCs w:val="20"/>
        </w:rPr>
        <w:t xml:space="preserve">KEY ACCOMPLISHMENTS</w:t>
      </w:r>
    </w:p>
    <w:p>
      <w:pPr>
        <w:pBdr>
          <w:bottom w:val="single" w:color="2563EB" w:sz="4"/>
        </w:pBdr>
        <w:spacing w:after="120" w:before="0"/>
      </w:pPr>
      <w:r>
        <w:t xml:space="preserve"/>
      </w:r>
    </w:p>
    <w:p>
      <w:pPr>
        <w:pStyle w:val="ListParagraph"/>
        <w:numPr>
          <w:ilvl w:val="0"/>
          <w:numId w:val="2"/>
        </w:numPr>
        <w:spacing w:after="40" w:before="40"/>
      </w:pPr>
      <w:r>
        <w:rPr>
          <w:rFonts w:ascii="Calibri" w:cs="Calibri" w:eastAsia="Calibri" w:hAnsi="Calibri"/>
          <w:color w:val="0F172A"/>
          <w:sz w:val="19"/>
          <w:szCs w:val="19"/>
        </w:rPr>
        <w:t xml:space="preserve">As a founding member of Charter's National Incentives team, co-designed and nationalized a fragmented $50MM+ annual sales incentive program — building infrastructure that now supports $1.2B in variable compensation to 40,000 employees across all sales channels.</w:t>
      </w:r>
    </w:p>
    <w:p>
      <w:pPr>
        <w:pStyle w:val="ListParagraph"/>
        <w:numPr>
          <w:ilvl w:val="0"/>
          <w:numId w:val="2"/>
        </w:numPr>
        <w:spacing w:after="40" w:before="40"/>
      </w:pPr>
      <w:r>
        <w:rPr>
          <w:rFonts w:ascii="Calibri" w:cs="Calibri" w:eastAsia="Calibri" w:hAnsi="Calibri"/>
          <w:color w:val="0F172A"/>
          <w:sz w:val="19"/>
          <w:szCs w:val="19"/>
        </w:rPr>
        <w:t xml:space="preserve">Led the team's implementation of Claude AI, AWS, and Kiro to streamline business analyst workflows, automating manual reporting processes and accelerating time-to-insight across the incentives organization.</w:t>
      </w:r>
    </w:p>
    <w:p>
      <w:pPr>
        <w:pStyle w:val="ListParagraph"/>
        <w:numPr>
          <w:ilvl w:val="0"/>
          <w:numId w:val="2"/>
        </w:numPr>
        <w:spacing w:after="40" w:before="40"/>
      </w:pPr>
      <w:r>
        <w:rPr>
          <w:rFonts w:ascii="Calibri" w:cs="Calibri" w:eastAsia="Calibri" w:hAnsi="Calibri"/>
          <w:color w:val="0F172A"/>
          <w:sz w:val="19"/>
          <w:szCs w:val="19"/>
        </w:rPr>
        <w:t xml:space="preserve">Attracted $38MM in client AUM in under three years at Merrill Lynch by developing targeted marketing campaigns and delivering white-glove service to HNW and affluent clients.</w:t>
      </w:r>
    </w:p>
    <w:p>
      <w:pPr>
        <w:pStyle w:val="ListParagraph"/>
        <w:numPr>
          <w:ilvl w:val="0"/>
          <w:numId w:val="2"/>
        </w:numPr>
        <w:spacing w:after="40" w:before="40"/>
      </w:pPr>
      <w:r>
        <w:rPr>
          <w:rFonts w:ascii="Calibri" w:cs="Calibri" w:eastAsia="Calibri" w:hAnsi="Calibri"/>
          <w:color w:val="0F172A"/>
          <w:sz w:val="19"/>
          <w:szCs w:val="19"/>
        </w:rPr>
        <w:t xml:space="preserve">Managed the complete accounting lifecycle for a $250MM whole-loan portfolio for publicly traded REIT (NYSE: ARPI) — from asset acquisition through disposition — while maintaining accurate financial reporting.</w:t>
      </w:r>
    </w:p>
    <w:p>
      <w:pPr>
        <w:pStyle w:val="ListParagraph"/>
        <w:numPr>
          <w:ilvl w:val="0"/>
          <w:numId w:val="2"/>
        </w:numPr>
        <w:spacing w:after="40" w:before="40"/>
      </w:pPr>
      <w:r>
        <w:rPr>
          <w:rFonts w:ascii="Calibri" w:cs="Calibri" w:eastAsia="Calibri" w:hAnsi="Calibri"/>
          <w:color w:val="0F172A"/>
          <w:sz w:val="19"/>
          <w:szCs w:val="19"/>
        </w:rPr>
        <w:t xml:space="preserve">Grew a sales incentive program at WRSG 500% over three years to $3MM+ annually by redesigning third-party installer compensation structures.</w:t>
      </w:r>
    </w:p>
    <w:p>
      <w:pPr>
        <w:spacing w:after="0" w:before="160"/>
      </w:pPr>
      <w:r>
        <w:t xml:space="preserve"/>
      </w:r>
    </w:p>
    <w:p>
      <w:pPr>
        <w:spacing w:after="60" w:before="0"/>
      </w:pPr>
      <w:r>
        <w:rPr>
          <w:rFonts w:ascii="Calibri" w:cs="Calibri" w:eastAsia="Calibri" w:hAnsi="Calibri"/>
          <w:b/>
          <w:bCs/>
          <w:color w:val="2563EB"/>
          <w:spacing w:val="60"/>
          <w:sz w:val="20"/>
          <w:szCs w:val="20"/>
        </w:rPr>
        <w:t xml:space="preserve">PROFESSIONAL EXPERIENCE</w:t>
      </w:r>
    </w:p>
    <w:p>
      <w:pPr>
        <w:pBdr>
          <w:bottom w:val="single" w:color="2563EB" w:sz="4"/>
        </w:pBdr>
        <w:spacing w:after="120" w:before="0"/>
      </w:pPr>
      <w:r>
        <w:t xml:space="preserve"/>
      </w:r>
    </w:p>
    <w:p>
      <w:pPr>
        <w:tabs>
          <w:tab w:val="right" w:pos="9360"/>
        </w:tabs>
        <w:spacing w:after="20" w:before="160"/>
      </w:pPr>
      <w:r>
        <w:rPr>
          <w:rFonts w:ascii="Calibri" w:cs="Calibri" w:eastAsia="Calibri" w:hAnsi="Calibri"/>
          <w:b/>
          <w:bCs/>
          <w:color w:val="0F172A"/>
          <w:sz w:val="22"/>
          <w:szCs w:val="22"/>
        </w:rPr>
        <w:t xml:space="preserve">Charter Communications</w:t>
      </w:r>
      <w:r>
        <w:rPr>
          <w:rFonts w:ascii="Calibri" w:cs="Calibri" w:eastAsia="Calibri" w:hAnsi="Calibri"/>
        </w:rPr>
        <w:t xml:space="preserve">	</w:t>
      </w:r>
      <w:r>
        <w:rPr>
          <w:rFonts w:ascii="Calibri" w:cs="Calibri" w:eastAsia="Calibri" w:hAnsi="Calibri"/>
          <w:color w:val="64748B"/>
          <w:sz w:val="18"/>
          <w:szCs w:val="18"/>
        </w:rPr>
        <w:t xml:space="preserve">Stamford, CT</w:t>
      </w:r>
    </w:p>
    <w:p>
      <w:pPr>
        <w:tabs>
          <w:tab w:val="right" w:pos="9360"/>
        </w:tabs>
        <w:spacing w:after="60" w:before="0"/>
      </w:pPr>
      <w:r>
        <w:rPr>
          <w:rFonts w:ascii="Calibri" w:cs="Calibri" w:eastAsia="Calibri" w:hAnsi="Calibri"/>
          <w:b/>
          <w:bCs/>
          <w:color w:val="2563EB"/>
          <w:sz w:val="20"/>
          <w:szCs w:val="20"/>
        </w:rPr>
        <w:t xml:space="preserve">Lead Data &amp; Reporting Analyst – National Incentives</w:t>
      </w:r>
      <w:r>
        <w:rPr>
          <w:rFonts w:ascii="Calibri" w:cs="Calibri" w:eastAsia="Calibri" w:hAnsi="Calibri"/>
        </w:rPr>
        <w:t xml:space="preserve">	</w:t>
      </w:r>
      <w:r>
        <w:rPr>
          <w:rFonts w:ascii="Calibri" w:cs="Calibri" w:eastAsia="Calibri" w:hAnsi="Calibri"/>
          <w:i/>
          <w:iCs/>
          <w:color w:val="64748B"/>
          <w:sz w:val="18"/>
          <w:szCs w:val="18"/>
        </w:rPr>
        <w:t xml:space="preserve">Feb 2022 – Present</w:t>
      </w:r>
    </w:p>
    <w:p>
      <w:pPr>
        <w:pStyle w:val="ListParagraph"/>
        <w:numPr>
          <w:ilvl w:val="0"/>
          <w:numId w:val="2"/>
        </w:numPr>
        <w:spacing w:after="40" w:before="40"/>
      </w:pPr>
      <w:r>
        <w:rPr>
          <w:rFonts w:ascii="Calibri" w:cs="Calibri" w:eastAsia="Calibri" w:hAnsi="Calibri"/>
          <w:color w:val="0F172A"/>
          <w:sz w:val="19"/>
          <w:szCs w:val="19"/>
        </w:rPr>
        <w:t xml:space="preserve">Serve as a founding member of the National Incentives team; helped nationalize a fragmented, regionally-siloed $50MM incentive program into a unified enterprise operation supporting $1.2B in annual variable compensation across 40,000 payees.</w:t>
      </w:r>
    </w:p>
    <w:p>
      <w:pPr>
        <w:pStyle w:val="ListParagraph"/>
        <w:numPr>
          <w:ilvl w:val="0"/>
          <w:numId w:val="2"/>
        </w:numPr>
        <w:spacing w:after="40" w:before="40"/>
      </w:pPr>
      <w:r>
        <w:rPr>
          <w:rFonts w:ascii="Calibri" w:cs="Calibri" w:eastAsia="Calibri" w:hAnsi="Calibri"/>
          <w:color w:val="0F172A"/>
          <w:sz w:val="19"/>
          <w:szCs w:val="19"/>
        </w:rPr>
        <w:t xml:space="preserve">Design, model, and implement sales compensation plans for all Small Business sales channels — including Inbound Sales, Retention, and Outbound Telemarketing — working directly with channel Directors and VPs to align compensation strategy with sales objectives.</w:t>
      </w:r>
    </w:p>
    <w:p>
      <w:pPr>
        <w:pStyle w:val="ListParagraph"/>
        <w:numPr>
          <w:ilvl w:val="0"/>
          <w:numId w:val="2"/>
        </w:numPr>
        <w:spacing w:after="40" w:before="40"/>
      </w:pPr>
      <w:r>
        <w:rPr>
          <w:rFonts w:ascii="Calibri" w:cs="Calibri" w:eastAsia="Calibri" w:hAnsi="Calibri"/>
          <w:color w:val="0F172A"/>
          <w:sz w:val="19"/>
          <w:szCs w:val="19"/>
        </w:rPr>
        <w:t xml:space="preserve">Manage a $30MM+ annual incentive budget for assigned sales channels; produce and distribute monthly incentive payments to 5,000+ individual payees (5%+ of company headcount).</w:t>
      </w:r>
    </w:p>
    <w:p>
      <w:pPr>
        <w:pStyle w:val="ListParagraph"/>
        <w:numPr>
          <w:ilvl w:val="0"/>
          <w:numId w:val="2"/>
        </w:numPr>
        <w:spacing w:after="40" w:before="40"/>
      </w:pPr>
      <w:r>
        <w:rPr>
          <w:rFonts w:ascii="Calibri" w:cs="Calibri" w:eastAsia="Calibri" w:hAnsi="Calibri"/>
          <w:color w:val="0F172A"/>
          <w:sz w:val="19"/>
          <w:szCs w:val="19"/>
        </w:rPr>
        <w:t xml:space="preserve">Lead the team's AI implementation initiative using Claude, AWS, and Kiro — streamlining business analyst workflows, automating report generation, and reducing manual processing overhead.</w:t>
      </w:r>
    </w:p>
    <w:p>
      <w:pPr>
        <w:pStyle w:val="ListParagraph"/>
        <w:numPr>
          <w:ilvl w:val="0"/>
          <w:numId w:val="2"/>
        </w:numPr>
        <w:spacing w:after="40" w:before="40"/>
      </w:pPr>
      <w:r>
        <w:rPr>
          <w:rFonts w:ascii="Calibri" w:cs="Calibri" w:eastAsia="Calibri" w:hAnsi="Calibri"/>
          <w:color w:val="0F172A"/>
          <w:sz w:val="19"/>
          <w:szCs w:val="19"/>
        </w:rPr>
        <w:t xml:space="preserve">Build and maintain forecasting models, executive dashboards, and ad hoc analytics in Alteryx and Excel (advanced pivot tables, VLOOKUP/XLOOKUP, complex modeling) to surface trends, risks, and opportunities for VP and SVP leadership.</w:t>
      </w:r>
    </w:p>
    <w:p>
      <w:pPr>
        <w:pStyle w:val="ListParagraph"/>
        <w:numPr>
          <w:ilvl w:val="0"/>
          <w:numId w:val="2"/>
        </w:numPr>
        <w:spacing w:after="40" w:before="40"/>
      </w:pPr>
      <w:r>
        <w:rPr>
          <w:rFonts w:ascii="Calibri" w:cs="Calibri" w:eastAsia="Calibri" w:hAnsi="Calibri"/>
          <w:color w:val="0F172A"/>
          <w:sz w:val="19"/>
          <w:szCs w:val="19"/>
        </w:rPr>
        <w:t xml:space="preserve">Collaborate daily with Directors across HR, Payroll, Finance, and IT to ensure incentive accuracy, compliance, and on-time payment execution.</w:t>
      </w:r>
    </w:p>
    <w:p>
      <w:pPr>
        <w:pStyle w:val="ListParagraph"/>
        <w:numPr>
          <w:ilvl w:val="0"/>
          <w:numId w:val="2"/>
        </w:numPr>
        <w:spacing w:after="40" w:before="40"/>
      </w:pPr>
      <w:r>
        <w:rPr>
          <w:rFonts w:ascii="Calibri" w:cs="Calibri" w:eastAsia="Calibri" w:hAnsi="Calibri"/>
          <w:color w:val="0F172A"/>
          <w:sz w:val="19"/>
          <w:szCs w:val="19"/>
        </w:rPr>
        <w:t xml:space="preserve">Mentor and develop junior analysts on the team; serve as technical lead and subject matter expert for incentive design and data reporting.</w:t>
      </w:r>
    </w:p>
    <w:p>
      <w:pPr>
        <w:spacing w:after="0" w:before="40"/>
      </w:pPr>
      <w:r>
        <w:t xml:space="preserve"/>
      </w:r>
    </w:p>
    <w:p>
      <w:pPr>
        <w:spacing w:after="40" w:before="60"/>
      </w:pPr>
      <w:r>
        <w:rPr>
          <w:rFonts w:ascii="Calibri" w:cs="Calibri" w:eastAsia="Calibri" w:hAnsi="Calibri"/>
          <w:b/>
          <w:bCs/>
          <w:color w:val="0F172A"/>
          <w:sz w:val="19"/>
          <w:szCs w:val="19"/>
        </w:rPr>
        <w:t xml:space="preserve">Awards:</w:t>
      </w:r>
      <w:r>
        <w:rPr>
          <w:rFonts w:ascii="Calibri" w:cs="Calibri" w:eastAsia="Calibri" w:hAnsi="Calibri"/>
          <w:color w:val="64748B"/>
          <w:sz w:val="19"/>
          <w:szCs w:val="19"/>
        </w:rPr>
        <w:t xml:space="preserve">  Q3 2024 Excellence Award (Exceptional Executor)  |  2024 Outstanding Achievement Award – Charter Communications  |  Rising Star: Top 40 Under 40, HousingWire Magazine (2015)</w:t>
      </w:r>
    </w:p>
    <w:p>
      <w:pPr>
        <w:tabs>
          <w:tab w:val="right" w:pos="9360"/>
        </w:tabs>
        <w:spacing w:after="20" w:before="160"/>
      </w:pPr>
      <w:r>
        <w:rPr>
          <w:rFonts w:ascii="Calibri" w:cs="Calibri" w:eastAsia="Calibri" w:hAnsi="Calibri"/>
          <w:b/>
          <w:bCs/>
          <w:color w:val="0F172A"/>
          <w:sz w:val="22"/>
          <w:szCs w:val="22"/>
        </w:rPr>
        <w:t xml:space="preserve">Oppenheimer &amp; Co.</w:t>
      </w:r>
      <w:r>
        <w:rPr>
          <w:rFonts w:ascii="Calibri" w:cs="Calibri" w:eastAsia="Calibri" w:hAnsi="Calibri"/>
        </w:rPr>
        <w:t xml:space="preserve">	</w:t>
      </w:r>
      <w:r>
        <w:rPr>
          <w:rFonts w:ascii="Calibri" w:cs="Calibri" w:eastAsia="Calibri" w:hAnsi="Calibri"/>
          <w:color w:val="64748B"/>
          <w:sz w:val="18"/>
          <w:szCs w:val="18"/>
        </w:rPr>
        <w:t xml:space="preserve">Stamford, CT</w:t>
      </w:r>
    </w:p>
    <w:p>
      <w:pPr>
        <w:tabs>
          <w:tab w:val="right" w:pos="9360"/>
        </w:tabs>
        <w:spacing w:after="60" w:before="0"/>
      </w:pPr>
      <w:r>
        <w:rPr>
          <w:rFonts w:ascii="Calibri" w:cs="Calibri" w:eastAsia="Calibri" w:hAnsi="Calibri"/>
          <w:b/>
          <w:bCs/>
          <w:color w:val="2563EB"/>
          <w:sz w:val="20"/>
          <w:szCs w:val="20"/>
        </w:rPr>
        <w:t xml:space="preserve">Financial Advisor</w:t>
      </w:r>
      <w:r>
        <w:rPr>
          <w:rFonts w:ascii="Calibri" w:cs="Calibri" w:eastAsia="Calibri" w:hAnsi="Calibri"/>
        </w:rPr>
        <w:t xml:space="preserve">	</w:t>
      </w:r>
      <w:r>
        <w:rPr>
          <w:rFonts w:ascii="Calibri" w:cs="Calibri" w:eastAsia="Calibri" w:hAnsi="Calibri"/>
          <w:i/>
          <w:iCs/>
          <w:color w:val="64748B"/>
          <w:sz w:val="18"/>
          <w:szCs w:val="18"/>
        </w:rPr>
        <w:t xml:space="preserve">2019 – 2020</w:t>
      </w:r>
    </w:p>
    <w:p>
      <w:pPr>
        <w:pStyle w:val="ListParagraph"/>
        <w:numPr>
          <w:ilvl w:val="0"/>
          <w:numId w:val="2"/>
        </w:numPr>
        <w:spacing w:after="40" w:before="40"/>
      </w:pPr>
      <w:r>
        <w:rPr>
          <w:rFonts w:ascii="Calibri" w:cs="Calibri" w:eastAsia="Calibri" w:hAnsi="Calibri"/>
          <w:color w:val="0F172A"/>
          <w:sz w:val="19"/>
          <w:szCs w:val="19"/>
        </w:rPr>
        <w:t xml:space="preserve">Migrated $38MM in client assets from Merrill Lynch to Oppenheimer, enhancing investment strategies across brokerage, retirement, and trading accounts for HNW clients.</w:t>
      </w:r>
    </w:p>
    <w:p>
      <w:pPr>
        <w:pStyle w:val="ListParagraph"/>
        <w:numPr>
          <w:ilvl w:val="0"/>
          <w:numId w:val="2"/>
        </w:numPr>
        <w:spacing w:after="40" w:before="40"/>
      </w:pPr>
      <w:r>
        <w:rPr>
          <w:rFonts w:ascii="Calibri" w:cs="Calibri" w:eastAsia="Calibri" w:hAnsi="Calibri"/>
          <w:color w:val="0F172A"/>
          <w:sz w:val="19"/>
          <w:szCs w:val="19"/>
        </w:rPr>
        <w:t xml:space="preserve">Collaborated with the investment banking team on a $200MM Series B raise for a plant-based food company.</w:t>
      </w:r>
    </w:p>
    <w:p>
      <w:pPr>
        <w:pStyle w:val="ListParagraph"/>
        <w:numPr>
          <w:ilvl w:val="0"/>
          <w:numId w:val="2"/>
        </w:numPr>
        <w:spacing w:after="40" w:before="40"/>
      </w:pPr>
      <w:r>
        <w:rPr>
          <w:rFonts w:ascii="Calibri" w:cs="Calibri" w:eastAsia="Calibri" w:hAnsi="Calibri"/>
          <w:color w:val="0F172A"/>
          <w:sz w:val="19"/>
          <w:szCs w:val="19"/>
        </w:rPr>
        <w:t xml:space="preserve">Served HNW clients, corporate 401(k) plan sponsors, and investment banking opportunities in partnership with specialist advisors.</w:t>
      </w:r>
    </w:p>
    <w:p>
      <w:pPr>
        <w:tabs>
          <w:tab w:val="right" w:pos="9360"/>
        </w:tabs>
        <w:spacing w:after="20" w:before="160"/>
      </w:pPr>
      <w:r>
        <w:rPr>
          <w:rFonts w:ascii="Calibri" w:cs="Calibri" w:eastAsia="Calibri" w:hAnsi="Calibri"/>
          <w:b/>
          <w:bCs/>
          <w:color w:val="0F172A"/>
          <w:sz w:val="22"/>
          <w:szCs w:val="22"/>
        </w:rPr>
        <w:t xml:space="preserve">Bank of America / Merrill Lynch</w:t>
      </w:r>
      <w:r>
        <w:rPr>
          <w:rFonts w:ascii="Calibri" w:cs="Calibri" w:eastAsia="Calibri" w:hAnsi="Calibri"/>
        </w:rPr>
        <w:t xml:space="preserve">	</w:t>
      </w:r>
      <w:r>
        <w:rPr>
          <w:rFonts w:ascii="Calibri" w:cs="Calibri" w:eastAsia="Calibri" w:hAnsi="Calibri"/>
          <w:color w:val="64748B"/>
          <w:sz w:val="18"/>
          <w:szCs w:val="18"/>
        </w:rPr>
        <w:t xml:space="preserve">Stamford, CT</w:t>
      </w:r>
    </w:p>
    <w:p>
      <w:pPr>
        <w:tabs>
          <w:tab w:val="right" w:pos="9360"/>
        </w:tabs>
        <w:spacing w:after="60" w:before="0"/>
      </w:pPr>
      <w:r>
        <w:rPr>
          <w:rFonts w:ascii="Calibri" w:cs="Calibri" w:eastAsia="Calibri" w:hAnsi="Calibri"/>
          <w:b/>
          <w:bCs/>
          <w:color w:val="2563EB"/>
          <w:sz w:val="20"/>
          <w:szCs w:val="20"/>
        </w:rPr>
        <w:t xml:space="preserve">Financial Advisor</w:t>
      </w:r>
      <w:r>
        <w:rPr>
          <w:rFonts w:ascii="Calibri" w:cs="Calibri" w:eastAsia="Calibri" w:hAnsi="Calibri"/>
        </w:rPr>
        <w:t xml:space="preserve">	</w:t>
      </w:r>
      <w:r>
        <w:rPr>
          <w:rFonts w:ascii="Calibri" w:cs="Calibri" w:eastAsia="Calibri" w:hAnsi="Calibri"/>
          <w:i/>
          <w:iCs/>
          <w:color w:val="64748B"/>
          <w:sz w:val="18"/>
          <w:szCs w:val="18"/>
        </w:rPr>
        <w:t xml:space="preserve">2017 – 2019</w:t>
      </w:r>
    </w:p>
    <w:p>
      <w:pPr>
        <w:pStyle w:val="ListParagraph"/>
        <w:numPr>
          <w:ilvl w:val="0"/>
          <w:numId w:val="2"/>
        </w:numPr>
        <w:spacing w:after="40" w:before="40"/>
      </w:pPr>
      <w:r>
        <w:rPr>
          <w:rFonts w:ascii="Calibri" w:cs="Calibri" w:eastAsia="Calibri" w:hAnsi="Calibri"/>
          <w:color w:val="0F172A"/>
          <w:sz w:val="19"/>
          <w:szCs w:val="19"/>
        </w:rPr>
        <w:t xml:space="preserve">Built a $38MM AUM book within three years, serving High Net Worth clients with comprehensive investment, retirement, and financial planning solutions.</w:t>
      </w:r>
    </w:p>
    <w:p>
      <w:pPr>
        <w:pStyle w:val="ListParagraph"/>
        <w:numPr>
          <w:ilvl w:val="0"/>
          <w:numId w:val="2"/>
        </w:numPr>
        <w:spacing w:after="40" w:before="40"/>
      </w:pPr>
      <w:r>
        <w:rPr>
          <w:rFonts w:ascii="Calibri" w:cs="Calibri" w:eastAsia="Calibri" w:hAnsi="Calibri"/>
          <w:color w:val="0F172A"/>
          <w:sz w:val="19"/>
          <w:szCs w:val="19"/>
        </w:rPr>
        <w:t xml:space="preserve">Used CRM analytics to design targeted sales and marketing campaigns; continuously refined acquisition funnel based on performance data.</w:t>
      </w:r>
    </w:p>
    <w:p>
      <w:pPr>
        <w:pStyle w:val="ListParagraph"/>
        <w:numPr>
          <w:ilvl w:val="0"/>
          <w:numId w:val="2"/>
        </w:numPr>
        <w:spacing w:after="40" w:before="40"/>
      </w:pPr>
      <w:r>
        <w:rPr>
          <w:rFonts w:ascii="Calibri" w:cs="Calibri" w:eastAsia="Calibri" w:hAnsi="Calibri"/>
          <w:color w:val="0F172A"/>
          <w:sz w:val="19"/>
          <w:szCs w:val="19"/>
        </w:rPr>
        <w:t xml:space="preserve">Originated first-position mortgages, refinances, and HELOCs aligned to client financial goals.</w:t>
      </w:r>
    </w:p>
    <w:p>
      <w:pPr>
        <w:pStyle w:val="ListParagraph"/>
        <w:numPr>
          <w:ilvl w:val="0"/>
          <w:numId w:val="2"/>
        </w:numPr>
        <w:spacing w:after="40" w:before="40"/>
      </w:pPr>
      <w:r>
        <w:rPr>
          <w:rFonts w:ascii="Calibri" w:cs="Calibri" w:eastAsia="Calibri" w:hAnsi="Calibri"/>
          <w:color w:val="0F172A"/>
          <w:sz w:val="19"/>
          <w:szCs w:val="19"/>
        </w:rPr>
        <w:t xml:space="preserve">Earned CFP certificate from Bryant University during tenure.</w:t>
      </w:r>
    </w:p>
    <w:p>
      <w:pPr>
        <w:tabs>
          <w:tab w:val="right" w:pos="9360"/>
        </w:tabs>
        <w:spacing w:after="20" w:before="160"/>
      </w:pPr>
      <w:r>
        <w:rPr>
          <w:rFonts w:ascii="Calibri" w:cs="Calibri" w:eastAsia="Calibri" w:hAnsi="Calibri"/>
          <w:b/>
          <w:bCs/>
          <w:color w:val="0F172A"/>
          <w:sz w:val="22"/>
          <w:szCs w:val="22"/>
        </w:rPr>
        <w:t xml:space="preserve">Tieback Realty Finance</w:t>
      </w:r>
      <w:r>
        <w:rPr>
          <w:rFonts w:ascii="Calibri" w:cs="Calibri" w:eastAsia="Calibri" w:hAnsi="Calibri"/>
        </w:rPr>
        <w:t xml:space="preserve">	</w:t>
      </w:r>
      <w:r>
        <w:rPr>
          <w:rFonts w:ascii="Calibri" w:cs="Calibri" w:eastAsia="Calibri" w:hAnsi="Calibri"/>
          <w:color w:val="64748B"/>
          <w:sz w:val="18"/>
          <w:szCs w:val="18"/>
        </w:rPr>
        <w:t xml:space="preserve">Newport Beach, CA</w:t>
      </w:r>
    </w:p>
    <w:p>
      <w:pPr>
        <w:tabs>
          <w:tab w:val="right" w:pos="9360"/>
        </w:tabs>
        <w:spacing w:after="60" w:before="0"/>
      </w:pPr>
      <w:r>
        <w:rPr>
          <w:rFonts w:ascii="Calibri" w:cs="Calibri" w:eastAsia="Calibri" w:hAnsi="Calibri"/>
          <w:b/>
          <w:bCs/>
          <w:color w:val="2563EB"/>
          <w:sz w:val="20"/>
          <w:szCs w:val="20"/>
        </w:rPr>
        <w:t xml:space="preserve">Director of Finance &amp; Commercial Loan Origination</w:t>
      </w:r>
      <w:r>
        <w:rPr>
          <w:rFonts w:ascii="Calibri" w:cs="Calibri" w:eastAsia="Calibri" w:hAnsi="Calibri"/>
        </w:rPr>
        <w:t xml:space="preserve">	</w:t>
      </w:r>
      <w:r>
        <w:rPr>
          <w:rFonts w:ascii="Calibri" w:cs="Calibri" w:eastAsia="Calibri" w:hAnsi="Calibri"/>
          <w:i/>
          <w:iCs/>
          <w:color w:val="64748B"/>
          <w:sz w:val="18"/>
          <w:szCs w:val="18"/>
        </w:rPr>
        <w:t xml:space="preserve">2013 – 2016</w:t>
      </w:r>
    </w:p>
    <w:p>
      <w:pPr>
        <w:pStyle w:val="ListParagraph"/>
        <w:numPr>
          <w:ilvl w:val="0"/>
          <w:numId w:val="2"/>
        </w:numPr>
        <w:spacing w:after="40" w:before="40"/>
      </w:pPr>
      <w:r>
        <w:rPr>
          <w:rFonts w:ascii="Calibri" w:cs="Calibri" w:eastAsia="Calibri" w:hAnsi="Calibri"/>
          <w:color w:val="0F172A"/>
          <w:sz w:val="19"/>
          <w:szCs w:val="19"/>
        </w:rPr>
        <w:t xml:space="preserve">Deployed $250MM+ over three years for publicly traded REIT (NYSE: ARPI), financing 1-4 unit residential properties for high-volume fix-and-flip operators nationwide.</w:t>
      </w:r>
    </w:p>
    <w:p>
      <w:pPr>
        <w:pStyle w:val="ListParagraph"/>
        <w:numPr>
          <w:ilvl w:val="0"/>
          <w:numId w:val="2"/>
        </w:numPr>
        <w:spacing w:after="40" w:before="40"/>
      </w:pPr>
      <w:r>
        <w:rPr>
          <w:rFonts w:ascii="Calibri" w:cs="Calibri" w:eastAsia="Calibri" w:hAnsi="Calibri"/>
          <w:color w:val="0F172A"/>
          <w:sz w:val="19"/>
          <w:szCs w:val="19"/>
        </w:rPr>
        <w:t xml:space="preserve">Built a sophisticated Excel-based loan tracking dashboard managing up to 150 active loans simultaneously (200+ line items each), tracking renovation/construction costs from acquisition to disposition and generating investor P&amp;L reports.</w:t>
      </w:r>
    </w:p>
    <w:p>
      <w:pPr>
        <w:pStyle w:val="ListParagraph"/>
        <w:numPr>
          <w:ilvl w:val="0"/>
          <w:numId w:val="2"/>
        </w:numPr>
        <w:spacing w:after="40" w:before="40"/>
      </w:pPr>
      <w:r>
        <w:rPr>
          <w:rFonts w:ascii="Calibri" w:cs="Calibri" w:eastAsia="Calibri" w:hAnsi="Calibri"/>
          <w:color w:val="0F172A"/>
          <w:sz w:val="19"/>
          <w:szCs w:val="19"/>
        </w:rPr>
        <w:t xml:space="preserve">Originated $25MM in first and second position hard money commercial loans; established and managed credit facilities with mortgage funds, family offices, and PE groups.</w:t>
      </w:r>
    </w:p>
    <w:p>
      <w:pPr>
        <w:pStyle w:val="ListParagraph"/>
        <w:numPr>
          <w:ilvl w:val="0"/>
          <w:numId w:val="2"/>
        </w:numPr>
        <w:spacing w:after="40" w:before="40"/>
      </w:pPr>
      <w:r>
        <w:rPr>
          <w:rFonts w:ascii="Calibri" w:cs="Calibri" w:eastAsia="Calibri" w:hAnsi="Calibri"/>
          <w:color w:val="0F172A"/>
          <w:sz w:val="19"/>
          <w:szCs w:val="19"/>
        </w:rPr>
        <w:t xml:space="preserve">Directed development of a crowdfunding platform to syndicate company deal flow.</w:t>
      </w:r>
    </w:p>
    <w:p>
      <w:pPr>
        <w:tabs>
          <w:tab w:val="right" w:pos="9360"/>
        </w:tabs>
        <w:spacing w:after="20" w:before="160"/>
      </w:pPr>
      <w:r>
        <w:rPr>
          <w:rFonts w:ascii="Calibri" w:cs="Calibri" w:eastAsia="Calibri" w:hAnsi="Calibri"/>
          <w:b/>
          <w:bCs/>
          <w:color w:val="0F172A"/>
          <w:sz w:val="22"/>
          <w:szCs w:val="22"/>
        </w:rPr>
        <w:t xml:space="preserve">World Recycling Surfacing Group</w:t>
      </w:r>
      <w:r>
        <w:rPr>
          <w:rFonts w:ascii="Calibri" w:cs="Calibri" w:eastAsia="Calibri" w:hAnsi="Calibri"/>
        </w:rPr>
        <w:t xml:space="preserve">	</w:t>
      </w:r>
      <w:r>
        <w:rPr>
          <w:rFonts w:ascii="Calibri" w:cs="Calibri" w:eastAsia="Calibri" w:hAnsi="Calibri"/>
          <w:color w:val="64748B"/>
          <w:sz w:val="18"/>
          <w:szCs w:val="18"/>
        </w:rPr>
        <w:t xml:space="preserve">Irvine, CA</w:t>
      </w:r>
    </w:p>
    <w:p>
      <w:pPr>
        <w:tabs>
          <w:tab w:val="right" w:pos="9360"/>
        </w:tabs>
        <w:spacing w:after="60" w:before="0"/>
      </w:pPr>
      <w:r>
        <w:rPr>
          <w:rFonts w:ascii="Calibri" w:cs="Calibri" w:eastAsia="Calibri" w:hAnsi="Calibri"/>
          <w:b/>
          <w:bCs/>
          <w:color w:val="2563EB"/>
          <w:sz w:val="20"/>
          <w:szCs w:val="20"/>
        </w:rPr>
        <w:t xml:space="preserve">Financial Analyst &amp; Business Development Consultant</w:t>
      </w:r>
      <w:r>
        <w:rPr>
          <w:rFonts w:ascii="Calibri" w:cs="Calibri" w:eastAsia="Calibri" w:hAnsi="Calibri"/>
        </w:rPr>
        <w:t xml:space="preserve">	</w:t>
      </w:r>
      <w:r>
        <w:rPr>
          <w:rFonts w:ascii="Calibri" w:cs="Calibri" w:eastAsia="Calibri" w:hAnsi="Calibri"/>
          <w:i/>
          <w:iCs/>
          <w:color w:val="64748B"/>
          <w:sz w:val="18"/>
          <w:szCs w:val="18"/>
        </w:rPr>
        <w:t xml:space="preserve">2011 – 2013</w:t>
      </w:r>
    </w:p>
    <w:p>
      <w:pPr>
        <w:pStyle w:val="ListParagraph"/>
        <w:numPr>
          <w:ilvl w:val="0"/>
          <w:numId w:val="2"/>
        </w:numPr>
        <w:spacing w:after="40" w:before="40"/>
      </w:pPr>
      <w:r>
        <w:rPr>
          <w:rFonts w:ascii="Calibri" w:cs="Calibri" w:eastAsia="Calibri" w:hAnsi="Calibri"/>
          <w:color w:val="0F172A"/>
          <w:sz w:val="19"/>
          <w:szCs w:val="19"/>
        </w:rPr>
        <w:t xml:space="preserve">Designed a third-party installer sales incentive program that grew product segment revenue 500% over three years to $3MM+ annually.</w:t>
      </w:r>
    </w:p>
    <w:p>
      <w:pPr>
        <w:pStyle w:val="ListParagraph"/>
        <w:numPr>
          <w:ilvl w:val="0"/>
          <w:numId w:val="2"/>
        </w:numPr>
        <w:spacing w:after="40" w:before="40"/>
      </w:pPr>
      <w:r>
        <w:rPr>
          <w:rFonts w:ascii="Calibri" w:cs="Calibri" w:eastAsia="Calibri" w:hAnsi="Calibri"/>
          <w:color w:val="0F172A"/>
          <w:sz w:val="19"/>
          <w:szCs w:val="19"/>
        </w:rPr>
        <w:t xml:space="preserve">Corrected five years of improper cost accounting, uncovering $450K+ in shadow inventory and amending company valuation.</w:t>
      </w:r>
    </w:p>
    <w:p>
      <w:pPr>
        <w:pStyle w:val="ListParagraph"/>
        <w:numPr>
          <w:ilvl w:val="0"/>
          <w:numId w:val="2"/>
        </w:numPr>
        <w:spacing w:after="40" w:before="40"/>
      </w:pPr>
      <w:r>
        <w:rPr>
          <w:rFonts w:ascii="Calibri" w:cs="Calibri" w:eastAsia="Calibri" w:hAnsi="Calibri"/>
          <w:color w:val="0F172A"/>
          <w:sz w:val="19"/>
          <w:szCs w:val="19"/>
        </w:rPr>
        <w:t xml:space="preserve">Established $1MM+ in GE Capital credit accounts for clients; increased average transaction size 10%, repeat business 25%, and reduced A/R 20% within 90 days.</w:t>
      </w:r>
    </w:p>
    <w:p>
      <w:pPr>
        <w:pStyle w:val="ListParagraph"/>
        <w:numPr>
          <w:ilvl w:val="0"/>
          <w:numId w:val="2"/>
        </w:numPr>
        <w:spacing w:after="40" w:before="40"/>
      </w:pPr>
      <w:r>
        <w:rPr>
          <w:rFonts w:ascii="Calibri" w:cs="Calibri" w:eastAsia="Calibri" w:hAnsi="Calibri"/>
          <w:color w:val="0F172A"/>
          <w:sz w:val="19"/>
          <w:szCs w:val="19"/>
        </w:rPr>
        <w:t xml:space="preserve">Supervised GAAP audit and recapitalization prep that secured $2MM in new equity investment.</w:t>
      </w:r>
    </w:p>
    <w:p>
      <w:pPr>
        <w:spacing w:after="0" w:before="160"/>
      </w:pPr>
      <w:r>
        <w:t xml:space="preserve"/>
      </w:r>
    </w:p>
    <w:p>
      <w:pPr>
        <w:spacing w:after="60" w:before="0"/>
      </w:pPr>
      <w:r>
        <w:rPr>
          <w:rFonts w:ascii="Calibri" w:cs="Calibri" w:eastAsia="Calibri" w:hAnsi="Calibri"/>
          <w:b/>
          <w:bCs/>
          <w:color w:val="2563EB"/>
          <w:spacing w:val="60"/>
          <w:sz w:val="20"/>
          <w:szCs w:val="20"/>
        </w:rPr>
        <w:t xml:space="preserve">CORE COMPETENCIES</w:t>
      </w:r>
    </w:p>
    <w:p>
      <w:pPr>
        <w:pBdr>
          <w:bottom w:val="single" w:color="2563EB" w:sz="4"/>
        </w:pBd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Mar>
              <w:top w:type="dxa" w:w="60"/>
              <w:left w:type="dxa" w:w="0"/>
              <w:bottom w:type="dxa" w:w="60"/>
              <w:right w:type="dxa" w:w="0"/>
            </w:tcMar>
          </w:tcPr>
          <w:p>
            <w:r>
              <w:rPr>
                <w:rFonts w:ascii="Calibri" w:cs="Calibri" w:eastAsia="Calibri" w:hAnsi="Calibri"/>
                <w:color w:val="0F172A"/>
                <w:sz w:val="19"/>
                <w:szCs w:val="19"/>
              </w:rPr>
              <w:t xml:space="preserve">▸  Sales Compensation Design</w:t>
            </w:r>
          </w:p>
          <w:p>
            <w:r>
              <w:rPr>
                <w:rFonts w:ascii="Calibri" w:cs="Calibri" w:eastAsia="Calibri" w:hAnsi="Calibri"/>
                <w:color w:val="0F172A"/>
                <w:sz w:val="19"/>
                <w:szCs w:val="19"/>
              </w:rPr>
              <w:t xml:space="preserve">▸  Financial Modeling &amp; Forecasting</w:t>
            </w:r>
          </w:p>
          <w:p>
            <w:r>
              <w:rPr>
                <w:rFonts w:ascii="Calibri" w:cs="Calibri" w:eastAsia="Calibri" w:hAnsi="Calibri"/>
                <w:color w:val="0F172A"/>
                <w:sz w:val="19"/>
                <w:szCs w:val="19"/>
              </w:rPr>
              <w:t xml:space="preserve">▸  Excel (Advanced) &amp; SQL</w:t>
            </w:r>
          </w:p>
          <w:p>
            <w:r>
              <w:rPr>
                <w:rFonts w:ascii="Calibri" w:cs="Calibri" w:eastAsia="Calibri" w:hAnsi="Calibri"/>
                <w:color w:val="0F172A"/>
                <w:sz w:val="19"/>
                <w:szCs w:val="19"/>
              </w:rPr>
              <w:t xml:space="preserve">▸  AI/LLM Implementation (Claude, AWS)</w:t>
            </w:r>
          </w:p>
        </w:tc>
        <w:tc>
          <w:tcPr>
            <w:tcW w:type="dxa" w:w="3120"/>
            <w:tcBorders>
              <w:top w:val="none"/>
              <w:left w:val="none"/>
              <w:bottom w:val="none"/>
              <w:right w:val="none"/>
            </w:tcBorders>
            <w:tcMar>
              <w:top w:type="dxa" w:w="60"/>
              <w:left w:type="dxa" w:w="0"/>
              <w:bottom w:type="dxa" w:w="60"/>
              <w:right w:type="dxa" w:w="0"/>
            </w:tcMar>
          </w:tcPr>
          <w:p>
            <w:r>
              <w:rPr>
                <w:rFonts w:ascii="Calibri" w:cs="Calibri" w:eastAsia="Calibri" w:hAnsi="Calibri"/>
                <w:color w:val="0F172A"/>
                <w:sz w:val="19"/>
                <w:szCs w:val="19"/>
              </w:rPr>
              <w:t xml:space="preserve">▸  Alteryx &amp; Tableau</w:t>
            </w:r>
          </w:p>
          <w:p>
            <w:r>
              <w:rPr>
                <w:rFonts w:ascii="Calibri" w:cs="Calibri" w:eastAsia="Calibri" w:hAnsi="Calibri"/>
                <w:color w:val="0F172A"/>
                <w:sz w:val="19"/>
                <w:szCs w:val="19"/>
              </w:rPr>
              <w:t xml:space="preserve">▸  Budget Management ($30MM+)</w:t>
            </w:r>
          </w:p>
          <w:p>
            <w:r>
              <w:rPr>
                <w:rFonts w:ascii="Calibri" w:cs="Calibri" w:eastAsia="Calibri" w:hAnsi="Calibri"/>
                <w:color w:val="0F172A"/>
                <w:sz w:val="19"/>
                <w:szCs w:val="19"/>
              </w:rPr>
              <w:t xml:space="preserve">▸  Cross-functional Leadership</w:t>
            </w:r>
          </w:p>
          <w:p>
            <w:r>
              <w:rPr>
                <w:rFonts w:ascii="Calibri" w:cs="Calibri" w:eastAsia="Calibri" w:hAnsi="Calibri"/>
                <w:color w:val="0F172A"/>
                <w:sz w:val="19"/>
                <w:szCs w:val="19"/>
              </w:rPr>
              <w:t xml:space="preserve">▸  Executive Presentations (VP/SVP)</w:t>
            </w:r>
          </w:p>
        </w:tc>
        <w:tc>
          <w:tcPr>
            <w:tcW w:type="dxa" w:w="3120"/>
            <w:tcBorders>
              <w:top w:val="none"/>
              <w:left w:val="none"/>
              <w:bottom w:val="none"/>
              <w:right w:val="none"/>
            </w:tcBorders>
            <w:tcMar>
              <w:top w:type="dxa" w:w="60"/>
              <w:left w:type="dxa" w:w="0"/>
              <w:bottom w:type="dxa" w:w="60"/>
              <w:right w:type="dxa" w:w="0"/>
            </w:tcMar>
          </w:tcPr>
          <w:p>
            <w:r>
              <w:rPr>
                <w:rFonts w:ascii="Calibri" w:cs="Calibri" w:eastAsia="Calibri" w:hAnsi="Calibri"/>
                <w:color w:val="0F172A"/>
                <w:sz w:val="19"/>
                <w:szCs w:val="19"/>
              </w:rPr>
              <w:t xml:space="preserve">▸  GAAP &amp; Financial Reporting</w:t>
            </w:r>
          </w:p>
          <w:p>
            <w:r>
              <w:rPr>
                <w:rFonts w:ascii="Calibri" w:cs="Calibri" w:eastAsia="Calibri" w:hAnsi="Calibri"/>
                <w:color w:val="0F172A"/>
                <w:sz w:val="19"/>
                <w:szCs w:val="19"/>
              </w:rPr>
              <w:t xml:space="preserve">▸  Real Estate Finance &amp; Lending</w:t>
            </w:r>
          </w:p>
          <w:p>
            <w:r>
              <w:rPr>
                <w:rFonts w:ascii="Calibri" w:cs="Calibri" w:eastAsia="Calibri" w:hAnsi="Calibri"/>
                <w:color w:val="0F172A"/>
                <w:sz w:val="19"/>
                <w:szCs w:val="19"/>
              </w:rPr>
              <w:t xml:space="preserve">▸  HNW Client Management</w:t>
            </w:r>
          </w:p>
          <w:p>
            <w:r>
              <w:rPr>
                <w:rFonts w:ascii="Calibri" w:cs="Calibri" w:eastAsia="Calibri" w:hAnsi="Calibri"/>
                <w:color w:val="0F172A"/>
                <w:sz w:val="19"/>
                <w:szCs w:val="19"/>
              </w:rPr>
              <w:t xml:space="preserve">▸  Kiro / GitHub / GitLab</w:t>
            </w:r>
          </w:p>
        </w:tc>
      </w:tr>
    </w:tbl>
    <w:p>
      <w:pPr>
        <w:spacing w:after="0" w:before="160"/>
      </w:pPr>
      <w:r>
        <w:t xml:space="preserve"/>
      </w:r>
    </w:p>
    <w:p>
      <w:pPr>
        <w:spacing w:after="60" w:before="0"/>
      </w:pPr>
      <w:r>
        <w:rPr>
          <w:rFonts w:ascii="Calibri" w:cs="Calibri" w:eastAsia="Calibri" w:hAnsi="Calibri"/>
          <w:b/>
          <w:bCs/>
          <w:color w:val="2563EB"/>
          <w:spacing w:val="60"/>
          <w:sz w:val="20"/>
          <w:szCs w:val="20"/>
        </w:rPr>
        <w:t xml:space="preserve">EDUCATION</w:t>
      </w:r>
    </w:p>
    <w:p>
      <w:pPr>
        <w:pBdr>
          <w:bottom w:val="single" w:color="2563EB" w:sz="4"/>
        </w:pBdr>
        <w:spacing w:after="120" w:before="0"/>
      </w:pPr>
      <w:r>
        <w:t xml:space="preserve"/>
      </w:r>
    </w:p>
    <w:p>
      <w:pPr>
        <w:tabs>
          <w:tab w:val="right" w:pos="9360"/>
        </w:tabs>
        <w:spacing w:after="20" w:before="40"/>
      </w:pPr>
      <w:r>
        <w:rPr>
          <w:rFonts w:ascii="Calibri" w:cs="Calibri" w:eastAsia="Calibri" w:hAnsi="Calibri"/>
          <w:b/>
          <w:bCs/>
          <w:color w:val="0F172A"/>
          <w:sz w:val="20"/>
          <w:szCs w:val="20"/>
        </w:rPr>
        <w:t xml:space="preserve">University of California, Irvine – Paul Merage School of Business</w:t>
      </w:r>
      <w:r>
        <w:rPr>
          <w:rFonts w:ascii="Calibri" w:cs="Calibri" w:eastAsia="Calibri" w:hAnsi="Calibri"/>
        </w:rPr>
        <w:t xml:space="preserve">	</w:t>
      </w:r>
      <w:r>
        <w:rPr>
          <w:rFonts w:ascii="Calibri" w:cs="Calibri" w:eastAsia="Calibri" w:hAnsi="Calibri"/>
          <w:color w:val="64748B"/>
          <w:sz w:val="19"/>
          <w:szCs w:val="19"/>
        </w:rPr>
        <w:t xml:space="preserve">2013</w:t>
      </w:r>
    </w:p>
    <w:p>
      <w:pPr>
        <w:spacing w:after="60" w:before="0"/>
      </w:pPr>
      <w:r>
        <w:rPr>
          <w:rFonts w:ascii="Calibri" w:cs="Calibri" w:eastAsia="Calibri" w:hAnsi="Calibri"/>
          <w:color w:val="64748B"/>
          <w:sz w:val="19"/>
          <w:szCs w:val="19"/>
        </w:rPr>
        <w:t xml:space="preserve">Master of Business Administration (MBA)  |  Dean's Leadership Circle Member</w:t>
      </w:r>
    </w:p>
    <w:p>
      <w:pPr>
        <w:tabs>
          <w:tab w:val="right" w:pos="9360"/>
        </w:tabs>
        <w:spacing w:after="20" w:before="60"/>
      </w:pPr>
      <w:r>
        <w:rPr>
          <w:rFonts w:ascii="Calibri" w:cs="Calibri" w:eastAsia="Calibri" w:hAnsi="Calibri"/>
          <w:b/>
          <w:bCs/>
          <w:color w:val="0F172A"/>
          <w:sz w:val="20"/>
          <w:szCs w:val="20"/>
        </w:rPr>
        <w:t xml:space="preserve">Hamilton College</w:t>
      </w:r>
      <w:r>
        <w:rPr>
          <w:rFonts w:ascii="Calibri" w:cs="Calibri" w:eastAsia="Calibri" w:hAnsi="Calibri"/>
        </w:rPr>
        <w:t xml:space="preserve">	</w:t>
      </w:r>
      <w:r>
        <w:rPr>
          <w:rFonts w:ascii="Calibri" w:cs="Calibri" w:eastAsia="Calibri" w:hAnsi="Calibri"/>
          <w:color w:val="64748B"/>
          <w:sz w:val="19"/>
          <w:szCs w:val="19"/>
        </w:rPr>
        <w:t xml:space="preserve">2006</w:t>
      </w:r>
    </w:p>
    <w:p>
      <w:pPr>
        <w:spacing w:after="60" w:before="0"/>
      </w:pPr>
      <w:r>
        <w:rPr>
          <w:rFonts w:ascii="Calibri" w:cs="Calibri" w:eastAsia="Calibri" w:hAnsi="Calibri"/>
          <w:color w:val="64748B"/>
          <w:sz w:val="19"/>
          <w:szCs w:val="19"/>
        </w:rPr>
        <w:t xml:space="preserve">Bachelor of Economics</w:t>
      </w:r>
    </w:p>
    <w:p>
      <w:pPr>
        <w:tabs>
          <w:tab w:val="right" w:pos="9360"/>
        </w:tabs>
        <w:spacing w:after="20" w:before="60"/>
      </w:pPr>
      <w:r>
        <w:rPr>
          <w:rFonts w:ascii="Calibri" w:cs="Calibri" w:eastAsia="Calibri" w:hAnsi="Calibri"/>
          <w:b/>
          <w:bCs/>
          <w:color w:val="0F172A"/>
          <w:sz w:val="20"/>
          <w:szCs w:val="20"/>
        </w:rPr>
        <w:t xml:space="preserve">Bryant University</w:t>
      </w:r>
      <w:r>
        <w:rPr>
          <w:rFonts w:ascii="Calibri" w:cs="Calibri" w:eastAsia="Calibri" w:hAnsi="Calibri"/>
        </w:rPr>
        <w:t xml:space="preserve">	</w:t>
      </w:r>
      <w:r>
        <w:rPr>
          <w:rFonts w:ascii="Calibri" w:cs="Calibri" w:eastAsia="Calibri" w:hAnsi="Calibri"/>
          <w:color w:val="64748B"/>
          <w:sz w:val="19"/>
          <w:szCs w:val="19"/>
        </w:rPr>
        <w:t xml:space="preserve">2019</w:t>
      </w:r>
    </w:p>
    <w:p>
      <w:pPr>
        <w:spacing w:after="60" w:before="0"/>
      </w:pPr>
      <w:r>
        <w:rPr>
          <w:rFonts w:ascii="Calibri" w:cs="Calibri" w:eastAsia="Calibri" w:hAnsi="Calibri"/>
          <w:color w:val="64748B"/>
          <w:sz w:val="19"/>
          <w:szCs w:val="19"/>
        </w:rPr>
        <w:t xml:space="preserve">Certified Financial Planner (CFP) Certificate</w:t>
      </w:r>
    </w:p>
    <w:p>
      <w:pPr>
        <w:spacing w:after="0" w:before="160"/>
      </w:pPr>
      <w:r>
        <w:t xml:space="preserve"/>
      </w:r>
    </w:p>
    <w:p>
      <w:pPr>
        <w:spacing w:after="60" w:before="0"/>
      </w:pPr>
      <w:r>
        <w:rPr>
          <w:rFonts w:ascii="Calibri" w:cs="Calibri" w:eastAsia="Calibri" w:hAnsi="Calibri"/>
          <w:b/>
          <w:bCs/>
          <w:color w:val="2563EB"/>
          <w:spacing w:val="60"/>
          <w:sz w:val="20"/>
          <w:szCs w:val="20"/>
        </w:rPr>
        <w:t xml:space="preserve">LICENSES &amp; CERTIFICATIONS</w:t>
      </w:r>
    </w:p>
    <w:p>
      <w:pPr>
        <w:pBdr>
          <w:bottom w:val="single" w:color="2563EB" w:sz="4"/>
        </w:pBd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4680"/>
        <w:gridCol w:w="2340"/>
        <w:gridCol w:w="2340"/>
      </w:tblGrid>
      <w:tr>
        <w:tc>
          <w:tcPr>
            <w:tcW w:type="dxa" w:w="4680"/>
            <w:tcBorders>
              <w:top w:val="none"/>
              <w:left w:val="none"/>
              <w:bottom w:val="none"/>
              <w:right w:val="none"/>
            </w:tcBorders>
            <w:tcMar>
              <w:top w:type="dxa" w:w="40"/>
              <w:left w:type="dxa" w:w="0"/>
              <w:bottom w:type="dxa" w:w="40"/>
              <w:right w:type="dxa" w:w="0"/>
            </w:tcMar>
          </w:tcPr>
          <w:p>
            <w:r>
              <w:rPr>
                <w:rFonts w:ascii="Calibri" w:cs="Calibri" w:eastAsia="Calibri" w:hAnsi="Calibri"/>
                <w:b/>
                <w:bCs/>
                <w:color w:val="0F172A"/>
                <w:sz w:val="19"/>
                <w:szCs w:val="19"/>
              </w:rPr>
              <w:t xml:space="preserve">Series 7 / Series 66</w:t>
            </w:r>
          </w:p>
        </w:tc>
        <w:tc>
          <w:tcPr>
            <w:tcW w:type="dxa" w:w="2340"/>
            <w:tcBorders>
              <w:top w:val="none"/>
              <w:left w:val="none"/>
              <w:bottom w:val="none"/>
              <w:right w:val="none"/>
            </w:tcBorders>
            <w:tcMar>
              <w:top w:type="dxa" w:w="40"/>
              <w:left w:type="dxa" w:w="0"/>
              <w:bottom w:type="dxa" w:w="40"/>
              <w:right w:type="dxa" w:w="0"/>
            </w:tcMar>
          </w:tcPr>
          <w:p>
            <w:r>
              <w:rPr>
                <w:rFonts w:ascii="Calibri" w:cs="Calibri" w:eastAsia="Calibri" w:hAnsi="Calibri"/>
                <w:color w:val="64748B"/>
                <w:sz w:val="18"/>
                <w:szCs w:val="18"/>
              </w:rPr>
              <w:t xml:space="preserve">FINRA</w:t>
            </w:r>
          </w:p>
        </w:tc>
        <w:tc>
          <w:tcPr>
            <w:tcW w:type="dxa" w:w="2340"/>
            <w:tcBorders>
              <w:top w:val="none"/>
              <w:left w:val="none"/>
              <w:bottom w:val="none"/>
              <w:right w:val="none"/>
            </w:tcBorders>
            <w:tcMar>
              <w:top w:type="dxa" w:w="40"/>
              <w:left w:type="dxa" w:w="0"/>
              <w:bottom w:type="dxa" w:w="40"/>
              <w:right w:type="dxa" w:w="0"/>
            </w:tcMar>
          </w:tcPr>
          <w:p>
            <w:pPr>
              <w:jc w:val="right"/>
            </w:pPr>
            <w:r>
              <w:rPr>
                <w:rFonts w:ascii="Calibri" w:cs="Calibri" w:eastAsia="Calibri" w:hAnsi="Calibri"/>
                <w:i/>
                <w:iCs/>
                <w:color w:val="64748B"/>
                <w:sz w:val="18"/>
                <w:szCs w:val="18"/>
              </w:rPr>
              <w:t xml:space="preserve">2017</w:t>
            </w:r>
          </w:p>
        </w:tc>
      </w:tr>
      <w:tr>
        <w:tc>
          <w:tcPr>
            <w:tcW w:type="dxa" w:w="4680"/>
            <w:tcBorders>
              <w:top w:val="none"/>
              <w:left w:val="none"/>
              <w:bottom w:val="none"/>
              <w:right w:val="none"/>
            </w:tcBorders>
            <w:tcMar>
              <w:top w:type="dxa" w:w="40"/>
              <w:left w:type="dxa" w:w="0"/>
              <w:bottom w:type="dxa" w:w="40"/>
              <w:right w:type="dxa" w:w="0"/>
            </w:tcMar>
          </w:tcPr>
          <w:p>
            <w:r>
              <w:rPr>
                <w:rFonts w:ascii="Calibri" w:cs="Calibri" w:eastAsia="Calibri" w:hAnsi="Calibri"/>
                <w:b/>
                <w:bCs/>
                <w:color w:val="0F172A"/>
                <w:sz w:val="19"/>
                <w:szCs w:val="19"/>
              </w:rPr>
              <w:t xml:space="preserve">Life &amp; Health Insurance License</w:t>
            </w:r>
          </w:p>
        </w:tc>
        <w:tc>
          <w:tcPr>
            <w:tcW w:type="dxa" w:w="2340"/>
            <w:tcBorders>
              <w:top w:val="none"/>
              <w:left w:val="none"/>
              <w:bottom w:val="none"/>
              <w:right w:val="none"/>
            </w:tcBorders>
            <w:tcMar>
              <w:top w:type="dxa" w:w="40"/>
              <w:left w:type="dxa" w:w="0"/>
              <w:bottom w:type="dxa" w:w="40"/>
              <w:right w:type="dxa" w:w="0"/>
            </w:tcMar>
          </w:tcPr>
          <w:p>
            <w:r>
              <w:rPr>
                <w:rFonts w:ascii="Calibri" w:cs="Calibri" w:eastAsia="Calibri" w:hAnsi="Calibri"/>
                <w:color w:val="64748B"/>
                <w:sz w:val="18"/>
                <w:szCs w:val="18"/>
              </w:rPr>
              <w:t xml:space="preserve">FINRA</w:t>
            </w:r>
          </w:p>
        </w:tc>
        <w:tc>
          <w:tcPr>
            <w:tcW w:type="dxa" w:w="2340"/>
            <w:tcBorders>
              <w:top w:val="none"/>
              <w:left w:val="none"/>
              <w:bottom w:val="none"/>
              <w:right w:val="none"/>
            </w:tcBorders>
            <w:tcMar>
              <w:top w:type="dxa" w:w="40"/>
              <w:left w:type="dxa" w:w="0"/>
              <w:bottom w:type="dxa" w:w="40"/>
              <w:right w:type="dxa" w:w="0"/>
            </w:tcMar>
          </w:tcPr>
          <w:p>
            <w:pPr>
              <w:jc w:val="right"/>
            </w:pPr>
            <w:r>
              <w:rPr>
                <w:rFonts w:ascii="Calibri" w:cs="Calibri" w:eastAsia="Calibri" w:hAnsi="Calibri"/>
                <w:i/>
                <w:iCs/>
                <w:color w:val="64748B"/>
                <w:sz w:val="18"/>
                <w:szCs w:val="18"/>
              </w:rPr>
              <w:t xml:space="preserve">2017</w:t>
            </w:r>
          </w:p>
        </w:tc>
      </w:tr>
      <w:tr>
        <w:tc>
          <w:tcPr>
            <w:tcW w:type="dxa" w:w="4680"/>
            <w:tcBorders>
              <w:top w:val="none"/>
              <w:left w:val="none"/>
              <w:bottom w:val="none"/>
              <w:right w:val="none"/>
            </w:tcBorders>
            <w:tcMar>
              <w:top w:type="dxa" w:w="40"/>
              <w:left w:type="dxa" w:w="0"/>
              <w:bottom w:type="dxa" w:w="40"/>
              <w:right w:type="dxa" w:w="0"/>
            </w:tcMar>
          </w:tcPr>
          <w:p>
            <w:r>
              <w:rPr>
                <w:rFonts w:ascii="Calibri" w:cs="Calibri" w:eastAsia="Calibri" w:hAnsi="Calibri"/>
                <w:b/>
                <w:bCs/>
                <w:color w:val="0F172A"/>
                <w:sz w:val="19"/>
                <w:szCs w:val="19"/>
              </w:rPr>
              <w:t xml:space="preserve">CT Real Estate License #0804976</w:t>
            </w:r>
          </w:p>
        </w:tc>
        <w:tc>
          <w:tcPr>
            <w:tcW w:type="dxa" w:w="2340"/>
            <w:tcBorders>
              <w:top w:val="none"/>
              <w:left w:val="none"/>
              <w:bottom w:val="none"/>
              <w:right w:val="none"/>
            </w:tcBorders>
            <w:tcMar>
              <w:top w:type="dxa" w:w="40"/>
              <w:left w:type="dxa" w:w="0"/>
              <w:bottom w:type="dxa" w:w="40"/>
              <w:right w:type="dxa" w:w="0"/>
            </w:tcMar>
          </w:tcPr>
          <w:p>
            <w:r>
              <w:rPr>
                <w:rFonts w:ascii="Calibri" w:cs="Calibri" w:eastAsia="Calibri" w:hAnsi="Calibri"/>
                <w:color w:val="64748B"/>
                <w:sz w:val="18"/>
                <w:szCs w:val="18"/>
              </w:rPr>
              <w:t xml:space="preserve">CT Dept. of Consumer Protection</w:t>
            </w:r>
          </w:p>
        </w:tc>
        <w:tc>
          <w:tcPr>
            <w:tcW w:type="dxa" w:w="2340"/>
            <w:tcBorders>
              <w:top w:val="none"/>
              <w:left w:val="none"/>
              <w:bottom w:val="none"/>
              <w:right w:val="none"/>
            </w:tcBorders>
            <w:tcMar>
              <w:top w:type="dxa" w:w="40"/>
              <w:left w:type="dxa" w:w="0"/>
              <w:bottom w:type="dxa" w:w="40"/>
              <w:right w:type="dxa" w:w="0"/>
            </w:tcMar>
          </w:tcPr>
          <w:p>
            <w:pPr>
              <w:jc w:val="right"/>
            </w:pPr>
            <w:r>
              <w:rPr>
                <w:rFonts w:ascii="Calibri" w:cs="Calibri" w:eastAsia="Calibri" w:hAnsi="Calibri"/>
                <w:i/>
                <w:iCs/>
                <w:color w:val="64748B"/>
                <w:sz w:val="18"/>
                <w:szCs w:val="18"/>
              </w:rPr>
              <w:t xml:space="preserve">2017</w:t>
            </w:r>
          </w:p>
        </w:tc>
      </w:tr>
      <w:tr>
        <w:tc>
          <w:tcPr>
            <w:tcW w:type="dxa" w:w="4680"/>
            <w:tcBorders>
              <w:top w:val="none"/>
              <w:left w:val="none"/>
              <w:bottom w:val="none"/>
              <w:right w:val="none"/>
            </w:tcBorders>
            <w:tcMar>
              <w:top w:type="dxa" w:w="40"/>
              <w:left w:type="dxa" w:w="0"/>
              <w:bottom w:type="dxa" w:w="40"/>
              <w:right w:type="dxa" w:w="0"/>
            </w:tcMar>
          </w:tcPr>
          <w:p>
            <w:r>
              <w:rPr>
                <w:rFonts w:ascii="Calibri" w:cs="Calibri" w:eastAsia="Calibri" w:hAnsi="Calibri"/>
                <w:b/>
                <w:bCs/>
                <w:color w:val="0F172A"/>
                <w:sz w:val="19"/>
                <w:szCs w:val="19"/>
              </w:rPr>
              <w:t xml:space="preserve">CA Real Estate License #1937160</w:t>
            </w:r>
          </w:p>
        </w:tc>
        <w:tc>
          <w:tcPr>
            <w:tcW w:type="dxa" w:w="2340"/>
            <w:tcBorders>
              <w:top w:val="none"/>
              <w:left w:val="none"/>
              <w:bottom w:val="none"/>
              <w:right w:val="none"/>
            </w:tcBorders>
            <w:tcMar>
              <w:top w:type="dxa" w:w="40"/>
              <w:left w:type="dxa" w:w="0"/>
              <w:bottom w:type="dxa" w:w="40"/>
              <w:right w:type="dxa" w:w="0"/>
            </w:tcMar>
          </w:tcPr>
          <w:p>
            <w:r>
              <w:rPr>
                <w:rFonts w:ascii="Calibri" w:cs="Calibri" w:eastAsia="Calibri" w:hAnsi="Calibri"/>
                <w:color w:val="64748B"/>
                <w:sz w:val="18"/>
                <w:szCs w:val="18"/>
              </w:rPr>
              <w:t xml:space="preserve">California Dept. of Real Estate</w:t>
            </w:r>
          </w:p>
        </w:tc>
        <w:tc>
          <w:tcPr>
            <w:tcW w:type="dxa" w:w="2340"/>
            <w:tcBorders>
              <w:top w:val="none"/>
              <w:left w:val="none"/>
              <w:bottom w:val="none"/>
              <w:right w:val="none"/>
            </w:tcBorders>
            <w:tcMar>
              <w:top w:type="dxa" w:w="40"/>
              <w:left w:type="dxa" w:w="0"/>
              <w:bottom w:type="dxa" w:w="40"/>
              <w:right w:type="dxa" w:w="0"/>
            </w:tcMar>
          </w:tcPr>
          <w:p>
            <w:pPr>
              <w:jc w:val="right"/>
            </w:pPr>
            <w:r>
              <w:rPr>
                <w:rFonts w:ascii="Calibri" w:cs="Calibri" w:eastAsia="Calibri" w:hAnsi="Calibri"/>
                <w:i/>
                <w:iCs/>
                <w:color w:val="64748B"/>
                <w:sz w:val="18"/>
                <w:szCs w:val="18"/>
              </w:rPr>
              <w:t xml:space="preserve">2013</w:t>
            </w:r>
          </w:p>
        </w:tc>
      </w:tr>
      <w:tr>
        <w:tc>
          <w:tcPr>
            <w:tcW w:type="dxa" w:w="4680"/>
            <w:tcBorders>
              <w:top w:val="none"/>
              <w:left w:val="none"/>
              <w:bottom w:val="none"/>
              <w:right w:val="none"/>
            </w:tcBorders>
            <w:tcMar>
              <w:top w:type="dxa" w:w="40"/>
              <w:left w:type="dxa" w:w="0"/>
              <w:bottom w:type="dxa" w:w="40"/>
              <w:right w:type="dxa" w:w="0"/>
            </w:tcMar>
          </w:tcPr>
          <w:p>
            <w:r>
              <w:rPr>
                <w:rFonts w:ascii="Calibri" w:cs="Calibri" w:eastAsia="Calibri" w:hAnsi="Calibri"/>
                <w:b/>
                <w:bCs/>
                <w:color w:val="0F172A"/>
                <w:sz w:val="19"/>
                <w:szCs w:val="19"/>
              </w:rPr>
              <w:t xml:space="preserve">NMLS #1084799 – Mortgage Loan Originator</w:t>
            </w:r>
          </w:p>
        </w:tc>
        <w:tc>
          <w:tcPr>
            <w:tcW w:type="dxa" w:w="2340"/>
            <w:tcBorders>
              <w:top w:val="none"/>
              <w:left w:val="none"/>
              <w:bottom w:val="none"/>
              <w:right w:val="none"/>
            </w:tcBorders>
            <w:tcMar>
              <w:top w:type="dxa" w:w="40"/>
              <w:left w:type="dxa" w:w="0"/>
              <w:bottom w:type="dxa" w:w="40"/>
              <w:right w:type="dxa" w:w="0"/>
            </w:tcMar>
          </w:tcPr>
          <w:p>
            <w:r>
              <w:rPr>
                <w:rFonts w:ascii="Calibri" w:cs="Calibri" w:eastAsia="Calibri" w:hAnsi="Calibri"/>
                <w:color w:val="64748B"/>
                <w:sz w:val="18"/>
                <w:szCs w:val="18"/>
              </w:rPr>
              <w:t xml:space="preserve">NMLS</w:t>
            </w:r>
          </w:p>
        </w:tc>
        <w:tc>
          <w:tcPr>
            <w:tcW w:type="dxa" w:w="2340"/>
            <w:tcBorders>
              <w:top w:val="none"/>
              <w:left w:val="none"/>
              <w:bottom w:val="none"/>
              <w:right w:val="none"/>
            </w:tcBorders>
            <w:tcMar>
              <w:top w:type="dxa" w:w="40"/>
              <w:left w:type="dxa" w:w="0"/>
              <w:bottom w:type="dxa" w:w="40"/>
              <w:right w:type="dxa" w:w="0"/>
            </w:tcMar>
          </w:tcPr>
          <w:p>
            <w:pPr>
              <w:jc w:val="right"/>
            </w:pPr>
            <w:r>
              <w:rPr>
                <w:rFonts w:ascii="Calibri" w:cs="Calibri" w:eastAsia="Calibri" w:hAnsi="Calibri"/>
                <w:i/>
                <w:iCs/>
                <w:color w:val="64748B"/>
                <w:sz w:val="18"/>
                <w:szCs w:val="18"/>
              </w:rPr>
              <w:t xml:space="preserve">2013</w:t>
            </w:r>
          </w:p>
        </w:tc>
      </w:tr>
    </w:tbl>
    <w:p>
      <w:pPr>
        <w:spacing w:after="0" w:before="120"/>
      </w:pPr>
      <w:r>
        <w:t xml:space="preserve"/>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Calibri" w:cs="Calibri" w:eastAsia="Calibri" w:hAnsi="Calibri"/>
        <w:color w:val="2563EB"/>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2026-04-11T19:31:28.915Z</dcterms:created>
  <dcterms:modified xsi:type="dcterms:W3CDTF">2026-04-11T19:31:28.916Z</dcterms:modified>
</cp:coreProperties>
</file>

<file path=docProps/custom.xml><?xml version="1.0" encoding="utf-8"?>
<Properties xmlns="http://schemas.openxmlformats.org/officeDocument/2006/custom-properties" xmlns:vt="http://schemas.openxmlformats.org/officeDocument/2006/docPropsVTypes"/>
</file>