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D2F" w:rsidRDefault="000825C8">
      <w:pPr>
        <w:jc w:val="both"/>
        <w:rPr>
          <w:b/>
          <w:sz w:val="40"/>
          <w:szCs w:val="40"/>
          <w:u w:val="single"/>
        </w:rPr>
      </w:pPr>
      <w:r>
        <w:rPr>
          <w:b/>
          <w:noProof/>
          <w:sz w:val="40"/>
          <w:szCs w:val="40"/>
          <w:u w:val="single"/>
        </w:rPr>
        <w:drawing>
          <wp:inline distT="114300" distB="114300" distL="114300" distR="114300">
            <wp:extent cx="3246774" cy="17097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3246774" cy="1709738"/>
                    </a:xfrm>
                    <a:prstGeom prst="rect">
                      <a:avLst/>
                    </a:prstGeom>
                    <a:ln/>
                  </pic:spPr>
                </pic:pic>
              </a:graphicData>
            </a:graphic>
          </wp:inline>
        </w:drawing>
      </w:r>
      <w:r>
        <w:rPr>
          <w:b/>
          <w:noProof/>
          <w:sz w:val="40"/>
          <w:szCs w:val="40"/>
          <w:u w:val="single"/>
        </w:rPr>
        <w:drawing>
          <wp:inline distT="114300" distB="114300" distL="114300" distR="114300">
            <wp:extent cx="2642632" cy="1379583"/>
            <wp:effectExtent l="0" t="0" r="0" b="508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6"/>
                    <a:srcRect t="33117" b="12003"/>
                    <a:stretch/>
                  </pic:blipFill>
                  <pic:spPr bwMode="auto">
                    <a:xfrm>
                      <a:off x="0" y="0"/>
                      <a:ext cx="2659656" cy="1388470"/>
                    </a:xfrm>
                    <a:prstGeom prst="rect">
                      <a:avLst/>
                    </a:prstGeom>
                    <a:ln>
                      <a:noFill/>
                    </a:ln>
                    <a:extLst>
                      <a:ext uri="{53640926-AAD7-44D8-BBD7-CCE9431645EC}">
                        <a14:shadowObscured xmlns:a14="http://schemas.microsoft.com/office/drawing/2010/main"/>
                      </a:ext>
                    </a:extLst>
                  </pic:spPr>
                </pic:pic>
              </a:graphicData>
            </a:graphic>
          </wp:inline>
        </w:drawing>
      </w:r>
    </w:p>
    <w:p w:rsidR="007A5D2F" w:rsidRDefault="007A5D2F">
      <w:pPr>
        <w:jc w:val="both"/>
        <w:rPr>
          <w:b/>
          <w:sz w:val="40"/>
          <w:szCs w:val="40"/>
          <w:u w:val="single"/>
        </w:rPr>
      </w:pPr>
    </w:p>
    <w:p w:rsidR="007A5D2F" w:rsidRDefault="000825C8">
      <w:pPr>
        <w:jc w:val="center"/>
        <w:rPr>
          <w:b/>
          <w:sz w:val="36"/>
          <w:szCs w:val="36"/>
        </w:rPr>
      </w:pPr>
      <w:r>
        <w:rPr>
          <w:b/>
          <w:sz w:val="36"/>
          <w:szCs w:val="36"/>
        </w:rPr>
        <w:t>UTC2720</w:t>
      </w:r>
    </w:p>
    <w:p w:rsidR="007A5D2F" w:rsidRDefault="000825C8" w:rsidP="00F962EE">
      <w:pPr>
        <w:jc w:val="center"/>
        <w:rPr>
          <w:b/>
          <w:sz w:val="36"/>
          <w:szCs w:val="36"/>
        </w:rPr>
      </w:pPr>
      <w:r>
        <w:rPr>
          <w:b/>
          <w:sz w:val="36"/>
          <w:szCs w:val="36"/>
        </w:rPr>
        <w:t>Income Inequality</w:t>
      </w:r>
      <w:r w:rsidR="00F962EE">
        <w:rPr>
          <w:b/>
          <w:sz w:val="36"/>
          <w:szCs w:val="36"/>
        </w:rPr>
        <w:t>:</w:t>
      </w:r>
      <w:r>
        <w:rPr>
          <w:b/>
          <w:sz w:val="36"/>
          <w:szCs w:val="36"/>
        </w:rPr>
        <w:t xml:space="preserve"> A Teleological Perspective</w:t>
      </w:r>
    </w:p>
    <w:p w:rsidR="007A5D2F" w:rsidRDefault="007A5D2F">
      <w:pPr>
        <w:jc w:val="center"/>
        <w:rPr>
          <w:b/>
          <w:sz w:val="36"/>
          <w:szCs w:val="36"/>
        </w:rPr>
      </w:pPr>
    </w:p>
    <w:p w:rsidR="007A5D2F" w:rsidRDefault="000825C8">
      <w:pPr>
        <w:jc w:val="center"/>
        <w:rPr>
          <w:b/>
          <w:sz w:val="36"/>
          <w:szCs w:val="36"/>
        </w:rPr>
      </w:pPr>
      <w:r>
        <w:rPr>
          <w:b/>
          <w:sz w:val="36"/>
          <w:szCs w:val="36"/>
        </w:rPr>
        <w:t xml:space="preserve">Professor Venkat </w:t>
      </w:r>
      <w:proofErr w:type="spellStart"/>
      <w:r>
        <w:rPr>
          <w:b/>
          <w:sz w:val="36"/>
          <w:szCs w:val="36"/>
        </w:rPr>
        <w:t>Venkatsubramanian</w:t>
      </w:r>
      <w:proofErr w:type="spellEnd"/>
    </w:p>
    <w:p w:rsidR="007A5D2F" w:rsidRDefault="000825C8">
      <w:pPr>
        <w:jc w:val="center"/>
        <w:rPr>
          <w:b/>
          <w:sz w:val="36"/>
          <w:szCs w:val="36"/>
        </w:rPr>
      </w:pPr>
      <w:proofErr w:type="spellStart"/>
      <w:r>
        <w:rPr>
          <w:b/>
          <w:sz w:val="36"/>
          <w:szCs w:val="36"/>
        </w:rPr>
        <w:t>Laya</w:t>
      </w:r>
      <w:proofErr w:type="spellEnd"/>
      <w:r>
        <w:rPr>
          <w:b/>
          <w:sz w:val="36"/>
          <w:szCs w:val="36"/>
        </w:rPr>
        <w:t xml:space="preserve"> Das</w:t>
      </w:r>
    </w:p>
    <w:p w:rsidR="007A5D2F" w:rsidRDefault="000825C8">
      <w:pPr>
        <w:jc w:val="center"/>
        <w:rPr>
          <w:b/>
          <w:sz w:val="36"/>
          <w:szCs w:val="36"/>
        </w:rPr>
      </w:pPr>
      <w:r>
        <w:rPr>
          <w:b/>
          <w:sz w:val="36"/>
          <w:szCs w:val="36"/>
        </w:rPr>
        <w:t xml:space="preserve">Abhishek </w:t>
      </w:r>
      <w:proofErr w:type="spellStart"/>
      <w:r>
        <w:rPr>
          <w:b/>
          <w:sz w:val="36"/>
          <w:szCs w:val="36"/>
        </w:rPr>
        <w:t>Sivaram</w:t>
      </w:r>
      <w:proofErr w:type="spellEnd"/>
    </w:p>
    <w:p w:rsidR="007A5D2F" w:rsidRDefault="007A5D2F">
      <w:pPr>
        <w:jc w:val="center"/>
        <w:rPr>
          <w:b/>
          <w:sz w:val="36"/>
          <w:szCs w:val="36"/>
        </w:rPr>
      </w:pPr>
    </w:p>
    <w:p w:rsidR="007A5D2F" w:rsidRDefault="000825C8">
      <w:pPr>
        <w:jc w:val="center"/>
        <w:rPr>
          <w:b/>
          <w:sz w:val="36"/>
          <w:szCs w:val="36"/>
        </w:rPr>
      </w:pPr>
      <w:r>
        <w:rPr>
          <w:b/>
          <w:sz w:val="36"/>
          <w:szCs w:val="36"/>
        </w:rPr>
        <w:t>Members:</w:t>
      </w:r>
    </w:p>
    <w:p w:rsidR="007A5D2F" w:rsidRDefault="007A5D2F">
      <w:pPr>
        <w:jc w:val="center"/>
        <w:rPr>
          <w:b/>
          <w:sz w:val="36"/>
          <w:szCs w:val="3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5D2F">
        <w:trPr>
          <w:jc w:val="center"/>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center"/>
              <w:rPr>
                <w:b/>
                <w:sz w:val="36"/>
                <w:szCs w:val="36"/>
              </w:rPr>
            </w:pPr>
            <w:r>
              <w:rPr>
                <w:b/>
                <w:sz w:val="36"/>
                <w:szCs w:val="36"/>
              </w:rPr>
              <w:t xml:space="preserve">Emma Tan Xin </w:t>
            </w:r>
            <w:proofErr w:type="spellStart"/>
            <w:r>
              <w:rPr>
                <w:b/>
                <w:sz w:val="36"/>
                <w:szCs w:val="36"/>
              </w:rPr>
              <w:t>Rong</w:t>
            </w:r>
            <w:proofErr w:type="spellEnd"/>
          </w:p>
        </w:tc>
        <w:tc>
          <w:tcPr>
            <w:tcW w:w="4680" w:type="dxa"/>
            <w:shd w:val="clear" w:color="auto" w:fill="auto"/>
            <w:tcMar>
              <w:top w:w="100" w:type="dxa"/>
              <w:left w:w="100" w:type="dxa"/>
              <w:bottom w:w="100" w:type="dxa"/>
              <w:right w:w="100" w:type="dxa"/>
            </w:tcMar>
          </w:tcPr>
          <w:p w:rsidR="007A5D2F" w:rsidRDefault="000825C8">
            <w:pPr>
              <w:widowControl w:val="0"/>
              <w:spacing w:line="240" w:lineRule="auto"/>
              <w:jc w:val="center"/>
              <w:rPr>
                <w:b/>
                <w:sz w:val="36"/>
                <w:szCs w:val="36"/>
              </w:rPr>
            </w:pPr>
            <w:r>
              <w:rPr>
                <w:b/>
                <w:sz w:val="36"/>
                <w:szCs w:val="36"/>
              </w:rPr>
              <w:t>E0319013</w:t>
            </w:r>
          </w:p>
        </w:tc>
      </w:tr>
      <w:tr w:rsidR="007A5D2F">
        <w:trPr>
          <w:jc w:val="center"/>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center"/>
              <w:rPr>
                <w:b/>
                <w:sz w:val="36"/>
                <w:szCs w:val="36"/>
              </w:rPr>
            </w:pPr>
            <w:r>
              <w:rPr>
                <w:b/>
                <w:sz w:val="36"/>
                <w:szCs w:val="36"/>
              </w:rPr>
              <w:t>Tan Kai Qun, Jeremy</w:t>
            </w:r>
          </w:p>
        </w:tc>
        <w:tc>
          <w:tcPr>
            <w:tcW w:w="4680" w:type="dxa"/>
            <w:shd w:val="clear" w:color="auto" w:fill="auto"/>
            <w:tcMar>
              <w:top w:w="100" w:type="dxa"/>
              <w:left w:w="100" w:type="dxa"/>
              <w:bottom w:w="100" w:type="dxa"/>
              <w:right w:w="100" w:type="dxa"/>
            </w:tcMar>
          </w:tcPr>
          <w:p w:rsidR="007A5D2F" w:rsidRDefault="000825C8">
            <w:pPr>
              <w:widowControl w:val="0"/>
              <w:spacing w:line="240" w:lineRule="auto"/>
              <w:jc w:val="center"/>
              <w:rPr>
                <w:b/>
                <w:sz w:val="36"/>
                <w:szCs w:val="36"/>
              </w:rPr>
            </w:pPr>
            <w:r>
              <w:rPr>
                <w:b/>
                <w:sz w:val="36"/>
                <w:szCs w:val="36"/>
              </w:rPr>
              <w:t>E0272509</w:t>
            </w:r>
          </w:p>
        </w:tc>
      </w:tr>
    </w:tbl>
    <w:p w:rsidR="007A5D2F" w:rsidRDefault="007A5D2F">
      <w:pPr>
        <w:jc w:val="center"/>
        <w:rPr>
          <w:b/>
          <w:sz w:val="36"/>
          <w:szCs w:val="36"/>
        </w:rPr>
      </w:pPr>
    </w:p>
    <w:p w:rsidR="005658B5" w:rsidRDefault="000825C8" w:rsidP="005658B5">
      <w:pPr>
        <w:jc w:val="center"/>
        <w:rPr>
          <w:b/>
          <w:sz w:val="36"/>
          <w:szCs w:val="36"/>
        </w:rPr>
      </w:pPr>
      <w:r>
        <w:rPr>
          <w:b/>
          <w:sz w:val="36"/>
          <w:szCs w:val="36"/>
        </w:rPr>
        <w:t>Date of submission: 29 July 2019</w:t>
      </w:r>
    </w:p>
    <w:p w:rsidR="007A5D2F" w:rsidRPr="005658B5" w:rsidRDefault="000825C8" w:rsidP="005658B5">
      <w:pPr>
        <w:jc w:val="center"/>
        <w:rPr>
          <w:b/>
          <w:sz w:val="36"/>
          <w:szCs w:val="36"/>
        </w:rPr>
      </w:pPr>
      <w:r>
        <w:br w:type="page"/>
      </w:r>
    </w:p>
    <w:p w:rsidR="007A5D2F" w:rsidRPr="005658B5" w:rsidRDefault="000825C8" w:rsidP="005658B5">
      <w:pPr>
        <w:jc w:val="both"/>
        <w:rPr>
          <w:sz w:val="36"/>
          <w:szCs w:val="36"/>
          <w:u w:val="single"/>
        </w:rPr>
      </w:pPr>
      <w:r w:rsidRPr="005658B5">
        <w:rPr>
          <w:sz w:val="32"/>
          <w:szCs w:val="32"/>
          <w:u w:val="single"/>
        </w:rPr>
        <w:lastRenderedPageBreak/>
        <w:t>Part 1</w:t>
      </w:r>
      <w:bookmarkStart w:id="0" w:name="_GoBack"/>
      <w:bookmarkEnd w:id="0"/>
    </w:p>
    <w:p w:rsidR="007A5D2F" w:rsidRDefault="000825C8">
      <w:pPr>
        <w:jc w:val="both"/>
        <w:rPr>
          <w:b/>
          <w:sz w:val="28"/>
          <w:szCs w:val="28"/>
        </w:rPr>
      </w:pPr>
      <w:r>
        <w:rPr>
          <w:b/>
          <w:sz w:val="28"/>
          <w:szCs w:val="28"/>
        </w:rPr>
        <w:t>Analysis of income distribution in different countries.</w:t>
      </w:r>
    </w:p>
    <w:p w:rsidR="007A5D2F" w:rsidRDefault="000825C8">
      <w:pPr>
        <w:spacing w:line="360" w:lineRule="auto"/>
        <w:jc w:val="both"/>
        <w:rPr>
          <w:sz w:val="24"/>
          <w:szCs w:val="24"/>
        </w:rPr>
      </w:pPr>
      <w:r>
        <w:rPr>
          <w:sz w:val="24"/>
          <w:szCs w:val="24"/>
        </w:rPr>
        <w:t xml:space="preserve">The maximum, minimum, average wage for each country is obtained from </w:t>
      </w:r>
      <w:r w:rsidR="00F962EE">
        <w:rPr>
          <w:sz w:val="24"/>
          <w:szCs w:val="24"/>
        </w:rPr>
        <w:t xml:space="preserve">the </w:t>
      </w:r>
      <w:r>
        <w:rPr>
          <w:sz w:val="24"/>
          <w:szCs w:val="24"/>
        </w:rPr>
        <w:t xml:space="preserve">table </w:t>
      </w:r>
      <w:r w:rsidR="00F962EE">
        <w:rPr>
          <w:sz w:val="24"/>
          <w:szCs w:val="24"/>
        </w:rPr>
        <w:t xml:space="preserve">below (figure 1) </w:t>
      </w:r>
      <w:r>
        <w:rPr>
          <w:sz w:val="24"/>
          <w:szCs w:val="24"/>
        </w:rPr>
        <w:t xml:space="preserve">with the inclusion of 3% inflation for each year for consistency. Thus, the maximum salary can then be calculated. However, </w:t>
      </w:r>
      <w:r w:rsidR="00F962EE">
        <w:rPr>
          <w:sz w:val="24"/>
          <w:szCs w:val="24"/>
        </w:rPr>
        <w:t xml:space="preserve">data for </w:t>
      </w:r>
      <w:r>
        <w:rPr>
          <w:sz w:val="24"/>
          <w:szCs w:val="24"/>
        </w:rPr>
        <w:t xml:space="preserve">Singapore and Malaysia </w:t>
      </w:r>
      <w:r w:rsidR="00F962EE">
        <w:rPr>
          <w:sz w:val="24"/>
          <w:szCs w:val="24"/>
        </w:rPr>
        <w:t>are</w:t>
      </w:r>
      <w:r>
        <w:rPr>
          <w:sz w:val="24"/>
          <w:szCs w:val="24"/>
        </w:rPr>
        <w:t xml:space="preserve"> not included in the table thus the maximum wage for each country has to be determined through </w:t>
      </w:r>
      <w:r w:rsidR="00F962EE">
        <w:rPr>
          <w:sz w:val="24"/>
          <w:szCs w:val="24"/>
        </w:rPr>
        <w:t xml:space="preserve">online </w:t>
      </w:r>
      <w:r>
        <w:rPr>
          <w:sz w:val="24"/>
          <w:szCs w:val="24"/>
        </w:rPr>
        <w:t>research</w:t>
      </w:r>
      <w:r w:rsidR="00F962EE">
        <w:rPr>
          <w:sz w:val="24"/>
          <w:szCs w:val="24"/>
        </w:rPr>
        <w:t xml:space="preserve"> </w:t>
      </w:r>
      <w:r>
        <w:rPr>
          <w:sz w:val="24"/>
          <w:szCs w:val="24"/>
        </w:rPr>
        <w:t xml:space="preserve">made with reasonable assumptions. </w:t>
      </w:r>
      <w:r w:rsidR="00F962EE">
        <w:rPr>
          <w:sz w:val="24"/>
          <w:szCs w:val="24"/>
        </w:rPr>
        <w:t xml:space="preserve">In this paper, we are going to examine the income distribution for each country in the past </w:t>
      </w:r>
      <w:r>
        <w:rPr>
          <w:sz w:val="24"/>
          <w:szCs w:val="24"/>
        </w:rPr>
        <w:t>40 years</w:t>
      </w:r>
      <w:r w:rsidR="00F962EE">
        <w:rPr>
          <w:sz w:val="24"/>
          <w:szCs w:val="24"/>
        </w:rPr>
        <w:t>.</w:t>
      </w:r>
    </w:p>
    <w:p w:rsidR="00F962EE" w:rsidRDefault="00F962EE">
      <w:pPr>
        <w:spacing w:line="360" w:lineRule="auto"/>
        <w:jc w:val="both"/>
        <w:rPr>
          <w:sz w:val="24"/>
          <w:szCs w:val="24"/>
        </w:rPr>
      </w:pPr>
    </w:p>
    <w:p w:rsidR="007A5D2F" w:rsidRDefault="00C02EB3">
      <w:pPr>
        <w:jc w:val="both"/>
        <w:rPr>
          <w:b/>
          <w:sz w:val="26"/>
          <w:szCs w:val="26"/>
          <w:u w:val="single"/>
        </w:rPr>
      </w:pPr>
      <w:r w:rsidRPr="00C02EB3">
        <w:rPr>
          <w:b/>
          <w:noProof/>
          <w:sz w:val="26"/>
          <w:szCs w:val="26"/>
        </w:rPr>
        <w:drawing>
          <wp:inline distT="0" distB="0" distL="0" distR="0">
            <wp:extent cx="5943600" cy="2125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29 at 2.31.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rsidR="00C02EB3" w:rsidRPr="00C02EB3" w:rsidRDefault="00C02EB3" w:rsidP="00C02EB3">
      <w:pPr>
        <w:jc w:val="center"/>
        <w:rPr>
          <w:sz w:val="24"/>
          <w:szCs w:val="24"/>
        </w:rPr>
      </w:pPr>
      <w:r>
        <w:rPr>
          <w:sz w:val="24"/>
          <w:szCs w:val="24"/>
        </w:rPr>
        <w:t>Figure 1:</w:t>
      </w:r>
      <w:r w:rsidR="00684F24">
        <w:rPr>
          <w:sz w:val="24"/>
          <w:szCs w:val="24"/>
        </w:rPr>
        <w:t xml:space="preserve"> Income statistics table</w:t>
      </w:r>
    </w:p>
    <w:p w:rsidR="00F962EE" w:rsidRDefault="00F962EE">
      <w:pPr>
        <w:jc w:val="both"/>
        <w:rPr>
          <w:b/>
          <w:sz w:val="26"/>
          <w:szCs w:val="26"/>
          <w:u w:val="single"/>
        </w:rPr>
      </w:pPr>
    </w:p>
    <w:p w:rsidR="007A5D2F" w:rsidRDefault="00684F24">
      <w:pPr>
        <w:spacing w:line="360" w:lineRule="auto"/>
        <w:jc w:val="both"/>
        <w:rPr>
          <w:sz w:val="24"/>
          <w:szCs w:val="24"/>
        </w:rPr>
      </w:pPr>
      <w:r>
        <w:rPr>
          <w:sz w:val="24"/>
          <w:szCs w:val="24"/>
        </w:rPr>
        <w:t>T</w:t>
      </w:r>
      <w:r w:rsidR="000825C8">
        <w:rPr>
          <w:sz w:val="24"/>
          <w:szCs w:val="24"/>
        </w:rPr>
        <w:t xml:space="preserve">he following equations listed below </w:t>
      </w:r>
      <w:r>
        <w:rPr>
          <w:sz w:val="24"/>
          <w:szCs w:val="24"/>
        </w:rPr>
        <w:t>will</w:t>
      </w:r>
      <w:r w:rsidR="000825C8">
        <w:rPr>
          <w:sz w:val="24"/>
          <w:szCs w:val="24"/>
        </w:rPr>
        <w:t xml:space="preserve"> be used to calculate </w:t>
      </w:r>
      <w:r w:rsidR="00FA5D58">
        <w:rPr>
          <w:sz w:val="24"/>
          <w:szCs w:val="24"/>
        </w:rPr>
        <w:t xml:space="preserve">sigma and </w:t>
      </w:r>
      <w:proofErr w:type="spellStart"/>
      <w:r w:rsidR="00FA5D58">
        <w:rPr>
          <w:sz w:val="24"/>
          <w:szCs w:val="24"/>
        </w:rPr>
        <w:t>miu</w:t>
      </w:r>
      <w:proofErr w:type="spellEnd"/>
      <w:r w:rsidR="00FA5D58">
        <w:rPr>
          <w:sz w:val="24"/>
          <w:szCs w:val="24"/>
        </w:rPr>
        <w:t>,</w:t>
      </w:r>
      <w:r w:rsidR="000825C8">
        <w:rPr>
          <w:sz w:val="24"/>
          <w:szCs w:val="24"/>
        </w:rPr>
        <w:t xml:space="preserve"> and determine the lognormal distribution for a given country. </w:t>
      </w:r>
      <w:r>
        <w:rPr>
          <w:sz w:val="24"/>
          <w:szCs w:val="24"/>
        </w:rPr>
        <w:t>An i</w:t>
      </w:r>
      <w:r w:rsidR="000825C8">
        <w:rPr>
          <w:sz w:val="24"/>
          <w:szCs w:val="24"/>
        </w:rPr>
        <w:t xml:space="preserve">deal society has a </w:t>
      </w:r>
      <w:r w:rsidR="000825C8">
        <w:rPr>
          <w:color w:val="222222"/>
          <w:sz w:val="24"/>
          <w:szCs w:val="24"/>
          <w:highlight w:val="white"/>
        </w:rPr>
        <w:t>Ψ</w:t>
      </w:r>
      <w:r w:rsidR="000825C8">
        <w:rPr>
          <w:sz w:val="24"/>
          <w:szCs w:val="24"/>
        </w:rPr>
        <w:t xml:space="preserve"> value of 0.</w:t>
      </w:r>
    </w:p>
    <w:p w:rsidR="007A5D2F" w:rsidRDefault="000825C8">
      <w:pPr>
        <w:ind w:firstLine="720"/>
        <w:jc w:val="both"/>
        <w:rPr>
          <w:b/>
          <w:sz w:val="26"/>
          <w:szCs w:val="26"/>
          <w:u w:val="single"/>
        </w:rPr>
      </w:pPr>
      <w:r w:rsidRPr="00684F24">
        <w:rPr>
          <w:b/>
          <w:noProof/>
          <w:sz w:val="26"/>
          <w:szCs w:val="26"/>
        </w:rPr>
        <w:drawing>
          <wp:inline distT="114300" distB="114300" distL="114300" distR="114300">
            <wp:extent cx="5410350" cy="112752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10350" cy="1127520"/>
                    </a:xfrm>
                    <a:prstGeom prst="rect">
                      <a:avLst/>
                    </a:prstGeom>
                    <a:ln/>
                  </pic:spPr>
                </pic:pic>
              </a:graphicData>
            </a:graphic>
          </wp:inline>
        </w:drawing>
      </w:r>
    </w:p>
    <w:p w:rsidR="007A5D2F" w:rsidRDefault="000825C8">
      <w:pPr>
        <w:jc w:val="both"/>
        <w:rPr>
          <w:sz w:val="24"/>
          <w:szCs w:val="24"/>
        </w:rPr>
      </w:pPr>
      <w:r>
        <w:rPr>
          <w:sz w:val="24"/>
          <w:szCs w:val="24"/>
        </w:rPr>
        <w:t>In order to calculate the alpha, beta, gamma, the following steps are used:</w:t>
      </w:r>
      <w:r>
        <w:rPr>
          <w:noProof/>
          <w:sz w:val="24"/>
          <w:szCs w:val="24"/>
        </w:rPr>
        <w:drawing>
          <wp:inline distT="114300" distB="114300" distL="114300" distR="114300">
            <wp:extent cx="2519363" cy="511999"/>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519363" cy="511999"/>
                    </a:xfrm>
                    <a:prstGeom prst="rect">
                      <a:avLst/>
                    </a:prstGeom>
                    <a:ln/>
                  </pic:spPr>
                </pic:pic>
              </a:graphicData>
            </a:graphic>
          </wp:inline>
        </w:drawing>
      </w:r>
      <w:r>
        <w:rPr>
          <w:noProof/>
          <w:sz w:val="24"/>
          <w:szCs w:val="24"/>
        </w:rPr>
        <w:drawing>
          <wp:inline distT="114300" distB="114300" distL="114300" distR="114300">
            <wp:extent cx="2195513" cy="641301"/>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195513" cy="641301"/>
                    </a:xfrm>
                    <a:prstGeom prst="rect">
                      <a:avLst/>
                    </a:prstGeom>
                    <a:ln/>
                  </pic:spPr>
                </pic:pic>
              </a:graphicData>
            </a:graphic>
          </wp:inline>
        </w:drawing>
      </w:r>
    </w:p>
    <w:p w:rsidR="00516E15" w:rsidRDefault="000825C8">
      <w:pPr>
        <w:jc w:val="both"/>
        <w:rPr>
          <w:sz w:val="24"/>
          <w:szCs w:val="24"/>
        </w:rPr>
      </w:pPr>
      <w:r>
        <w:rPr>
          <w:sz w:val="24"/>
          <w:szCs w:val="24"/>
        </w:rPr>
        <w:t>Comparing 1 and 2, the following relation is obtained</w:t>
      </w:r>
    </w:p>
    <w:p w:rsidR="00516E15" w:rsidRDefault="00516E15" w:rsidP="00516E15">
      <w:pPr>
        <w:jc w:val="center"/>
        <w:rPr>
          <w:sz w:val="24"/>
          <w:szCs w:val="24"/>
        </w:rPr>
      </w:pPr>
      <w:r>
        <w:rPr>
          <w:noProof/>
          <w:sz w:val="24"/>
          <w:szCs w:val="24"/>
        </w:rPr>
        <w:lastRenderedPageBreak/>
        <w:drawing>
          <wp:inline distT="0" distB="0" distL="0" distR="0">
            <wp:extent cx="1461407" cy="12330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7-29 at 3.23.11 PM.png"/>
                    <pic:cNvPicPr/>
                  </pic:nvPicPr>
                  <pic:blipFill>
                    <a:blip r:embed="rId11">
                      <a:extLst>
                        <a:ext uri="{28A0092B-C50C-407E-A947-70E740481C1C}">
                          <a14:useLocalDpi xmlns:a14="http://schemas.microsoft.com/office/drawing/2010/main" val="0"/>
                        </a:ext>
                      </a:extLst>
                    </a:blip>
                    <a:stretch>
                      <a:fillRect/>
                    </a:stretch>
                  </pic:blipFill>
                  <pic:spPr>
                    <a:xfrm>
                      <a:off x="0" y="0"/>
                      <a:ext cx="1473238" cy="1243044"/>
                    </a:xfrm>
                    <a:prstGeom prst="rect">
                      <a:avLst/>
                    </a:prstGeom>
                  </pic:spPr>
                </pic:pic>
              </a:graphicData>
            </a:graphic>
          </wp:inline>
        </w:drawing>
      </w:r>
    </w:p>
    <w:p w:rsidR="007A5D2F" w:rsidRDefault="00516E15" w:rsidP="00516E15">
      <w:pPr>
        <w:rPr>
          <w:sz w:val="24"/>
          <w:szCs w:val="24"/>
        </w:rPr>
      </w:pPr>
      <w:r>
        <w:rPr>
          <w:sz w:val="24"/>
          <w:szCs w:val="24"/>
        </w:rPr>
        <w:t>The</w:t>
      </w:r>
      <w:r w:rsidR="000825C8">
        <w:rPr>
          <w:sz w:val="24"/>
          <w:szCs w:val="24"/>
        </w:rPr>
        <w:t xml:space="preserve"> alpha, beta and gamma can then be determined. </w:t>
      </w:r>
    </w:p>
    <w:p w:rsidR="00516E15" w:rsidRDefault="00516E15">
      <w:pPr>
        <w:jc w:val="both"/>
        <w:rPr>
          <w:sz w:val="24"/>
          <w:szCs w:val="24"/>
        </w:rPr>
      </w:pPr>
    </w:p>
    <w:p w:rsidR="007A5D2F" w:rsidRDefault="00516E15">
      <w:pPr>
        <w:jc w:val="both"/>
        <w:rPr>
          <w:sz w:val="24"/>
          <w:szCs w:val="24"/>
        </w:rPr>
      </w:pPr>
      <w:r>
        <w:rPr>
          <w:sz w:val="24"/>
          <w:szCs w:val="24"/>
        </w:rPr>
        <w:t>Note: The</w:t>
      </w:r>
      <w:r w:rsidR="000825C8">
        <w:rPr>
          <w:sz w:val="24"/>
          <w:szCs w:val="24"/>
        </w:rPr>
        <w:t xml:space="preserve"> income</w:t>
      </w:r>
      <w:r>
        <w:rPr>
          <w:sz w:val="24"/>
          <w:szCs w:val="24"/>
        </w:rPr>
        <w:t xml:space="preserve"> statistics</w:t>
      </w:r>
      <w:r w:rsidR="000825C8">
        <w:rPr>
          <w:sz w:val="24"/>
          <w:szCs w:val="24"/>
        </w:rPr>
        <w:t xml:space="preserve"> tak</w:t>
      </w:r>
      <w:r>
        <w:rPr>
          <w:sz w:val="24"/>
          <w:szCs w:val="24"/>
        </w:rPr>
        <w:t>en is</w:t>
      </w:r>
      <w:r w:rsidR="000825C8">
        <w:rPr>
          <w:sz w:val="24"/>
          <w:szCs w:val="24"/>
        </w:rPr>
        <w:t xml:space="preserve"> in each country’s currency.</w:t>
      </w:r>
    </w:p>
    <w:p w:rsidR="007A5D2F" w:rsidRDefault="007A5D2F">
      <w:pPr>
        <w:jc w:val="both"/>
        <w:rPr>
          <w:sz w:val="24"/>
          <w:szCs w:val="24"/>
        </w:rPr>
      </w:pPr>
    </w:p>
    <w:p w:rsidR="007A5D2F" w:rsidRDefault="000825C8">
      <w:pPr>
        <w:jc w:val="both"/>
        <w:rPr>
          <w:sz w:val="28"/>
          <w:szCs w:val="28"/>
        </w:rPr>
      </w:pPr>
      <w:r>
        <w:rPr>
          <w:sz w:val="28"/>
          <w:szCs w:val="28"/>
        </w:rPr>
        <w:t>1.1 Singapore</w:t>
      </w:r>
    </w:p>
    <w:p w:rsidR="007A5D2F" w:rsidRDefault="000825C8">
      <w:pPr>
        <w:jc w:val="both"/>
        <w:rPr>
          <w:b/>
          <w:sz w:val="24"/>
          <w:szCs w:val="24"/>
        </w:rPr>
      </w:pPr>
      <w:r>
        <w:rPr>
          <w:b/>
          <w:sz w:val="24"/>
          <w:szCs w:val="24"/>
        </w:rPr>
        <w:t>Singapore (Table Form):</w:t>
      </w:r>
    </w:p>
    <w:p w:rsidR="007A5D2F" w:rsidRDefault="007A5D2F">
      <w:pPr>
        <w:jc w:val="both"/>
        <w:rPr>
          <w:sz w:val="24"/>
          <w:szCs w:val="24"/>
        </w:rPr>
      </w:pPr>
    </w:p>
    <w:p w:rsidR="007A5D2F" w:rsidRDefault="000825C8">
      <w:pPr>
        <w:spacing w:line="360" w:lineRule="auto"/>
        <w:jc w:val="both"/>
        <w:rPr>
          <w:sz w:val="24"/>
          <w:szCs w:val="24"/>
        </w:rPr>
      </w:pPr>
      <w:r>
        <w:rPr>
          <w:sz w:val="24"/>
          <w:szCs w:val="24"/>
        </w:rPr>
        <w:t>Singapore has no concrete minimum wage policy in the fear that by implementing the policy, companies go bust and the unemployment rate will increase</w:t>
      </w:r>
      <w:r w:rsidR="00516E15">
        <w:rPr>
          <w:sz w:val="24"/>
          <w:szCs w:val="24"/>
        </w:rPr>
        <w:t xml:space="preserve"> </w:t>
      </w:r>
      <w:r>
        <w:rPr>
          <w:sz w:val="24"/>
          <w:szCs w:val="24"/>
        </w:rPr>
        <w:t>(</w:t>
      </w:r>
      <w:hyperlink r:id="rId12">
        <w:r w:rsidRPr="00A86AA1">
          <w:rPr>
            <w:color w:val="1155CC"/>
            <w:sz w:val="24"/>
            <w:szCs w:val="24"/>
            <w:u w:val="single"/>
          </w:rPr>
          <w:t>https://www.theedgesingapore.com/minimum-wage-singapore</w:t>
        </w:r>
      </w:hyperlink>
      <w:r w:rsidRPr="00A86AA1">
        <w:rPr>
          <w:sz w:val="24"/>
          <w:szCs w:val="24"/>
        </w:rPr>
        <w:t>).</w:t>
      </w:r>
      <w:r>
        <w:rPr>
          <w:sz w:val="24"/>
          <w:szCs w:val="24"/>
        </w:rPr>
        <w:t xml:space="preserve"> </w:t>
      </w:r>
    </w:p>
    <w:p w:rsidR="007A5D2F" w:rsidRDefault="000825C8">
      <w:pPr>
        <w:spacing w:line="360" w:lineRule="auto"/>
        <w:jc w:val="both"/>
        <w:rPr>
          <w:sz w:val="24"/>
          <w:szCs w:val="24"/>
        </w:rPr>
      </w:pPr>
      <w:r>
        <w:rPr>
          <w:sz w:val="24"/>
          <w:szCs w:val="24"/>
        </w:rPr>
        <w:t>However, there are certain guidelines to follow. For example, cleaners are to be paid at least SGD1000/month but the minimum wage is specific to occupation and not nationwide.</w:t>
      </w:r>
    </w:p>
    <w:p w:rsidR="007A5D2F" w:rsidRDefault="007A5D2F">
      <w:pPr>
        <w:spacing w:line="360" w:lineRule="auto"/>
        <w:jc w:val="both"/>
        <w:rPr>
          <w:sz w:val="24"/>
          <w:szCs w:val="24"/>
        </w:rPr>
      </w:pPr>
    </w:p>
    <w:p w:rsidR="007A5D2F" w:rsidRDefault="000825C8">
      <w:pPr>
        <w:spacing w:line="360" w:lineRule="auto"/>
        <w:jc w:val="both"/>
        <w:rPr>
          <w:sz w:val="24"/>
          <w:szCs w:val="24"/>
        </w:rPr>
      </w:pPr>
      <w:r>
        <w:rPr>
          <w:sz w:val="24"/>
          <w:szCs w:val="24"/>
        </w:rPr>
        <w:t>The maximum wage in Singapore for this project is taken to be the salary of the Prime Minister. The prime minister salary is found to be pegged within the top 0.1% of Singaporeans after taking a pay cut.</w:t>
      </w:r>
    </w:p>
    <w:p w:rsidR="00A86AA1" w:rsidRPr="00A86AA1" w:rsidRDefault="005658B5">
      <w:pPr>
        <w:jc w:val="both"/>
        <w:rPr>
          <w:sz w:val="24"/>
          <w:szCs w:val="24"/>
        </w:rPr>
      </w:pPr>
      <w:hyperlink r:id="rId13" w:history="1">
        <w:r w:rsidR="00A86AA1" w:rsidRPr="009C122E">
          <w:rPr>
            <w:rStyle w:val="Hyperlink"/>
            <w:sz w:val="24"/>
            <w:szCs w:val="24"/>
          </w:rPr>
          <w:t>https://blog.seedly.sg/salary-guide-singapore/</w:t>
        </w:r>
      </w:hyperlink>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5D2F">
        <w:trPr>
          <w:trHeight w:val="78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DATA GROUP</w:t>
            </w:r>
          </w:p>
        </w:tc>
        <w:tc>
          <w:tcPr>
            <w:tcW w:w="4680" w:type="dxa"/>
            <w:shd w:val="clear" w:color="auto" w:fill="auto"/>
            <w:tcMar>
              <w:top w:w="100" w:type="dxa"/>
              <w:left w:w="100" w:type="dxa"/>
              <w:bottom w:w="100" w:type="dxa"/>
              <w:right w:w="100" w:type="dxa"/>
            </w:tcMar>
          </w:tcPr>
          <w:p w:rsidR="007A5D2F" w:rsidRDefault="00516E15">
            <w:pPr>
              <w:widowControl w:val="0"/>
              <w:spacing w:line="240" w:lineRule="auto"/>
              <w:jc w:val="both"/>
              <w:rPr>
                <w:b/>
                <w:sz w:val="24"/>
                <w:szCs w:val="24"/>
              </w:rPr>
            </w:pPr>
            <w:r>
              <w:rPr>
                <w:b/>
                <w:sz w:val="24"/>
                <w:szCs w:val="24"/>
              </w:rPr>
              <w:t>Income</w:t>
            </w:r>
            <w:r w:rsidR="000825C8">
              <w:rPr>
                <w:b/>
                <w:sz w:val="24"/>
                <w:szCs w:val="24"/>
              </w:rPr>
              <w:t xml:space="preserve"> (2018)</w:t>
            </w:r>
          </w:p>
        </w:tc>
      </w:tr>
      <w:tr w:rsidR="007A5D2F">
        <w:trPr>
          <w:trHeight w:val="78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Minimum Wage</w:t>
            </w:r>
          </w:p>
          <w:p w:rsidR="007A5D2F" w:rsidRDefault="000825C8">
            <w:pPr>
              <w:widowControl w:val="0"/>
              <w:spacing w:line="240" w:lineRule="auto"/>
              <w:jc w:val="both"/>
              <w:rPr>
                <w:b/>
                <w:sz w:val="24"/>
                <w:szCs w:val="24"/>
              </w:rPr>
            </w:pPr>
            <w:r>
              <w:rPr>
                <w:b/>
                <w:sz w:val="24"/>
                <w:szCs w:val="24"/>
              </w:rPr>
              <w:t>Average Wage</w:t>
            </w:r>
          </w:p>
          <w:p w:rsidR="007A5D2F" w:rsidRDefault="000825C8">
            <w:pPr>
              <w:widowControl w:val="0"/>
              <w:spacing w:line="240" w:lineRule="auto"/>
              <w:jc w:val="both"/>
              <w:rPr>
                <w:b/>
                <w:sz w:val="24"/>
                <w:szCs w:val="24"/>
              </w:rPr>
            </w:pPr>
            <w:r>
              <w:rPr>
                <w:b/>
                <w:sz w:val="24"/>
                <w:szCs w:val="24"/>
              </w:rPr>
              <w:t>Maximum Wage</w:t>
            </w:r>
          </w:p>
        </w:tc>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sz w:val="24"/>
                <w:szCs w:val="24"/>
              </w:rPr>
            </w:pPr>
            <w:r>
              <w:rPr>
                <w:sz w:val="24"/>
                <w:szCs w:val="24"/>
              </w:rPr>
              <w:t>~SGD12000/year</w:t>
            </w:r>
          </w:p>
          <w:p w:rsidR="007A5D2F" w:rsidRDefault="000825C8">
            <w:pPr>
              <w:widowControl w:val="0"/>
              <w:spacing w:line="240" w:lineRule="auto"/>
              <w:jc w:val="both"/>
              <w:rPr>
                <w:sz w:val="24"/>
                <w:szCs w:val="24"/>
              </w:rPr>
            </w:pPr>
            <w:r>
              <w:rPr>
                <w:sz w:val="24"/>
                <w:szCs w:val="24"/>
              </w:rPr>
              <w:t>SGD</w:t>
            </w:r>
            <w:r>
              <w:rPr>
                <w:color w:val="3B3B3B"/>
                <w:sz w:val="24"/>
                <w:szCs w:val="24"/>
                <w:highlight w:val="white"/>
              </w:rPr>
              <w:t>67,152/year</w:t>
            </w:r>
          </w:p>
          <w:p w:rsidR="007A5D2F" w:rsidRDefault="000825C8">
            <w:pPr>
              <w:widowControl w:val="0"/>
              <w:spacing w:line="240" w:lineRule="auto"/>
              <w:jc w:val="both"/>
              <w:rPr>
                <w:sz w:val="24"/>
                <w:szCs w:val="24"/>
              </w:rPr>
            </w:pPr>
            <w:r>
              <w:rPr>
                <w:sz w:val="24"/>
                <w:szCs w:val="24"/>
              </w:rPr>
              <w:t xml:space="preserve">SGD2.2 million/year </w:t>
            </w:r>
          </w:p>
        </w:tc>
      </w:tr>
    </w:tbl>
    <w:p w:rsidR="007A5D2F" w:rsidRDefault="007A5D2F">
      <w:pPr>
        <w:jc w:val="both"/>
        <w:rPr>
          <w:sz w:val="28"/>
          <w:szCs w:val="28"/>
        </w:rPr>
      </w:pPr>
    </w:p>
    <w:p w:rsidR="007A5D2F" w:rsidRDefault="000825C8">
      <w:pPr>
        <w:jc w:val="both"/>
        <w:rPr>
          <w:sz w:val="28"/>
          <w:szCs w:val="28"/>
        </w:rPr>
      </w:pPr>
      <w:r>
        <w:br w:type="page"/>
      </w:r>
    </w:p>
    <w:p w:rsidR="007A5D2F" w:rsidRDefault="000825C8">
      <w:pPr>
        <w:jc w:val="both"/>
        <w:rPr>
          <w:sz w:val="28"/>
          <w:szCs w:val="28"/>
        </w:rPr>
      </w:pPr>
      <w:r>
        <w:rPr>
          <w:sz w:val="28"/>
          <w:szCs w:val="28"/>
        </w:rPr>
        <w:lastRenderedPageBreak/>
        <w:t>1.1.1 Income distribution over the years</w:t>
      </w:r>
    </w:p>
    <w:p w:rsidR="007A5D2F" w:rsidRDefault="007A5D2F">
      <w:pPr>
        <w:jc w:val="both"/>
        <w:rPr>
          <w:sz w:val="28"/>
          <w:szCs w:val="28"/>
        </w:rPr>
      </w:pPr>
    </w:p>
    <w:p w:rsidR="007A5D2F" w:rsidRDefault="000825C8">
      <w:pPr>
        <w:jc w:val="both"/>
        <w:rPr>
          <w:sz w:val="28"/>
          <w:szCs w:val="28"/>
          <w:u w:val="single"/>
        </w:rPr>
      </w:pPr>
      <w:r>
        <w:rPr>
          <w:sz w:val="28"/>
          <w:szCs w:val="28"/>
          <w:u w:val="single"/>
        </w:rPr>
        <w:t>Pre-Tax</w:t>
      </w:r>
    </w:p>
    <w:p w:rsidR="007A5D2F" w:rsidRDefault="000825C8" w:rsidP="00126A02">
      <w:pPr>
        <w:jc w:val="center"/>
        <w:rPr>
          <w:sz w:val="28"/>
          <w:szCs w:val="28"/>
        </w:rPr>
      </w:pPr>
      <w:r>
        <w:rPr>
          <w:noProof/>
        </w:rPr>
        <w:drawing>
          <wp:inline distT="0" distB="0" distL="0" distR="0">
            <wp:extent cx="5543550" cy="3494314"/>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549751" cy="3498223"/>
                    </a:xfrm>
                    <a:prstGeom prst="rect">
                      <a:avLst/>
                    </a:prstGeom>
                    <a:ln/>
                  </pic:spPr>
                </pic:pic>
              </a:graphicData>
            </a:graphic>
          </wp:inline>
        </w:drawing>
      </w:r>
    </w:p>
    <w:p w:rsidR="007A5D2F" w:rsidRDefault="000825C8">
      <w:pPr>
        <w:jc w:val="both"/>
        <w:rPr>
          <w:sz w:val="24"/>
          <w:szCs w:val="24"/>
        </w:rPr>
      </w:pPr>
      <w:r>
        <w:rPr>
          <w:sz w:val="24"/>
          <w:szCs w:val="24"/>
        </w:rPr>
        <w:t>There is a lack of data found in 1992 as well as the lack of post-tax data.</w:t>
      </w:r>
    </w:p>
    <w:p w:rsidR="007A5D2F" w:rsidRDefault="007A5D2F">
      <w:pPr>
        <w:jc w:val="both"/>
        <w:rPr>
          <w:sz w:val="24"/>
          <w:szCs w:val="24"/>
        </w:rPr>
      </w:pPr>
    </w:p>
    <w:p w:rsidR="007A5D2F" w:rsidRDefault="000825C8">
      <w:pPr>
        <w:jc w:val="both"/>
        <w:rPr>
          <w:sz w:val="24"/>
          <w:szCs w:val="24"/>
        </w:rPr>
      </w:pPr>
      <w:r>
        <w:rPr>
          <w:b/>
          <w:sz w:val="24"/>
          <w:szCs w:val="24"/>
          <w:u w:val="single"/>
        </w:rPr>
        <w:t>ANALYSIS</w:t>
      </w:r>
    </w:p>
    <w:p w:rsidR="007A5D2F" w:rsidRDefault="000825C8">
      <w:pPr>
        <w:spacing w:line="360" w:lineRule="auto"/>
        <w:jc w:val="both"/>
        <w:rPr>
          <w:sz w:val="24"/>
          <w:szCs w:val="24"/>
        </w:rPr>
      </w:pPr>
      <w:r>
        <w:rPr>
          <w:sz w:val="24"/>
          <w:szCs w:val="24"/>
        </w:rPr>
        <w:t xml:space="preserve">As observed over the years, the non-ideal inequality for the top 1% from the year 1974 to 1991 is fairly consistent, hovering around an average of 51% more than the ideal inequality line of 0%. However, from the year 1998, </w:t>
      </w:r>
      <w:r w:rsidR="009662DA">
        <w:rPr>
          <w:sz w:val="24"/>
          <w:szCs w:val="24"/>
        </w:rPr>
        <w:t xml:space="preserve">its </w:t>
      </w:r>
      <w:r>
        <w:rPr>
          <w:color w:val="222222"/>
          <w:sz w:val="24"/>
          <w:szCs w:val="24"/>
          <w:highlight w:val="white"/>
        </w:rPr>
        <w:t>Ψ</w:t>
      </w:r>
      <w:r>
        <w:rPr>
          <w:sz w:val="24"/>
          <w:szCs w:val="24"/>
        </w:rPr>
        <w:t xml:space="preserve"> </w:t>
      </w:r>
      <w:r w:rsidR="009662DA">
        <w:rPr>
          <w:sz w:val="24"/>
          <w:szCs w:val="24"/>
        </w:rPr>
        <w:t>value spiked and</w:t>
      </w:r>
      <w:r>
        <w:rPr>
          <w:sz w:val="24"/>
          <w:szCs w:val="24"/>
        </w:rPr>
        <w:t xml:space="preserve"> reached a peak high in 2001 with </w:t>
      </w:r>
      <w:r w:rsidR="009662DA">
        <w:rPr>
          <w:sz w:val="24"/>
          <w:szCs w:val="24"/>
        </w:rPr>
        <w:t>a</w:t>
      </w:r>
      <w:r>
        <w:rPr>
          <w:sz w:val="24"/>
          <w:szCs w:val="24"/>
        </w:rPr>
        <w:t xml:space="preserve"> value </w:t>
      </w:r>
      <w:r w:rsidR="009662DA">
        <w:rPr>
          <w:sz w:val="24"/>
          <w:szCs w:val="24"/>
        </w:rPr>
        <w:t xml:space="preserve">of </w:t>
      </w:r>
      <w:r>
        <w:rPr>
          <w:sz w:val="24"/>
          <w:szCs w:val="24"/>
        </w:rPr>
        <w:t xml:space="preserve">107.971%. This value indicates that the top 1% in that year has an income share of 107.971% more than the ideal share. </w:t>
      </w:r>
    </w:p>
    <w:p w:rsidR="00516E15" w:rsidRDefault="00516E15">
      <w:pPr>
        <w:spacing w:line="360" w:lineRule="auto"/>
        <w:jc w:val="both"/>
        <w:rPr>
          <w:sz w:val="24"/>
          <w:szCs w:val="24"/>
        </w:rPr>
      </w:pPr>
    </w:p>
    <w:p w:rsidR="007A5D2F" w:rsidRPr="009662DA" w:rsidRDefault="000825C8">
      <w:pPr>
        <w:spacing w:line="360" w:lineRule="auto"/>
        <w:jc w:val="both"/>
        <w:rPr>
          <w:sz w:val="24"/>
          <w:szCs w:val="24"/>
        </w:rPr>
      </w:pPr>
      <w:r>
        <w:rPr>
          <w:sz w:val="24"/>
          <w:szCs w:val="24"/>
        </w:rPr>
        <w:t xml:space="preserve">For the next 9%, initially from the year 1974 to 2000, </w:t>
      </w:r>
      <w:r w:rsidR="009662DA">
        <w:rPr>
          <w:sz w:val="24"/>
          <w:szCs w:val="24"/>
        </w:rPr>
        <w:t xml:space="preserve">its </w:t>
      </w:r>
      <w:r>
        <w:rPr>
          <w:color w:val="222222"/>
          <w:sz w:val="24"/>
          <w:szCs w:val="24"/>
          <w:highlight w:val="white"/>
        </w:rPr>
        <w:t>Ψ</w:t>
      </w:r>
      <w:r>
        <w:rPr>
          <w:sz w:val="24"/>
          <w:szCs w:val="24"/>
        </w:rPr>
        <w:t xml:space="preserve"> </w:t>
      </w:r>
      <w:r w:rsidR="009662DA">
        <w:rPr>
          <w:sz w:val="24"/>
          <w:szCs w:val="24"/>
        </w:rPr>
        <w:t xml:space="preserve">value </w:t>
      </w:r>
      <w:r>
        <w:rPr>
          <w:sz w:val="24"/>
          <w:szCs w:val="24"/>
        </w:rPr>
        <w:t>is lower than 0%</w:t>
      </w:r>
      <w:r w:rsidR="009662DA">
        <w:rPr>
          <w:sz w:val="24"/>
          <w:szCs w:val="24"/>
        </w:rPr>
        <w:t xml:space="preserve"> and has </w:t>
      </w:r>
      <w:r>
        <w:rPr>
          <w:sz w:val="24"/>
          <w:szCs w:val="24"/>
        </w:rPr>
        <w:t>reach</w:t>
      </w:r>
      <w:r w:rsidR="009662DA">
        <w:rPr>
          <w:sz w:val="24"/>
          <w:szCs w:val="24"/>
        </w:rPr>
        <w:t>ed</w:t>
      </w:r>
      <w:r>
        <w:rPr>
          <w:sz w:val="24"/>
          <w:szCs w:val="24"/>
        </w:rPr>
        <w:t xml:space="preserve"> the negative value</w:t>
      </w:r>
      <w:r w:rsidR="009662DA">
        <w:rPr>
          <w:sz w:val="24"/>
          <w:szCs w:val="24"/>
        </w:rPr>
        <w:t xml:space="preserve"> range</w:t>
      </w:r>
      <w:r>
        <w:rPr>
          <w:sz w:val="24"/>
          <w:szCs w:val="24"/>
        </w:rPr>
        <w:t xml:space="preserve">. </w:t>
      </w:r>
      <w:r w:rsidR="009662DA">
        <w:rPr>
          <w:sz w:val="24"/>
          <w:szCs w:val="24"/>
        </w:rPr>
        <w:t>This</w:t>
      </w:r>
      <w:r>
        <w:rPr>
          <w:sz w:val="24"/>
          <w:szCs w:val="24"/>
        </w:rPr>
        <w:t xml:space="preserve"> indicates that the income share owned by the </w:t>
      </w:r>
      <w:r w:rsidR="00516E15">
        <w:rPr>
          <w:sz w:val="24"/>
          <w:szCs w:val="24"/>
        </w:rPr>
        <w:t>top</w:t>
      </w:r>
      <w:r w:rsidR="009662DA">
        <w:rPr>
          <w:sz w:val="24"/>
          <w:szCs w:val="24"/>
        </w:rPr>
        <w:t xml:space="preserve"> </w:t>
      </w:r>
      <w:r w:rsidR="00516E15">
        <w:rPr>
          <w:sz w:val="24"/>
          <w:szCs w:val="24"/>
        </w:rPr>
        <w:t>1-10</w:t>
      </w:r>
      <w:r>
        <w:rPr>
          <w:sz w:val="24"/>
          <w:szCs w:val="24"/>
        </w:rPr>
        <w:t xml:space="preserve">% is lower than the ideal share which means that </w:t>
      </w:r>
      <w:r w:rsidRPr="009662DA">
        <w:rPr>
          <w:sz w:val="24"/>
          <w:szCs w:val="24"/>
        </w:rPr>
        <w:t xml:space="preserve">they are receiving less than the amount they should receive. From the year 2000 to 2014, </w:t>
      </w:r>
      <w:r w:rsidR="009662DA" w:rsidRPr="009662DA">
        <w:rPr>
          <w:sz w:val="24"/>
          <w:szCs w:val="24"/>
        </w:rPr>
        <w:t xml:space="preserve">its </w:t>
      </w:r>
      <w:r w:rsidRPr="009662DA">
        <w:rPr>
          <w:color w:val="222222"/>
          <w:sz w:val="24"/>
          <w:szCs w:val="24"/>
          <w:highlight w:val="white"/>
        </w:rPr>
        <w:t>Ψ</w:t>
      </w:r>
      <w:r w:rsidRPr="009662DA">
        <w:rPr>
          <w:rFonts w:eastAsia="Cambria"/>
          <w:sz w:val="24"/>
          <w:szCs w:val="24"/>
        </w:rPr>
        <w:t xml:space="preserve"> </w:t>
      </w:r>
      <w:r w:rsidR="009662DA" w:rsidRPr="009662DA">
        <w:rPr>
          <w:rFonts w:eastAsia="Cambria"/>
          <w:sz w:val="24"/>
          <w:szCs w:val="24"/>
        </w:rPr>
        <w:t>value fluctuates around the</w:t>
      </w:r>
      <w:r w:rsidR="009662DA">
        <w:rPr>
          <w:rFonts w:eastAsia="Cambria"/>
          <w:sz w:val="24"/>
          <w:szCs w:val="24"/>
        </w:rPr>
        <w:t xml:space="preserve"> ideal inequality line but there</w:t>
      </w:r>
      <w:r w:rsidR="009662DA" w:rsidRPr="009662DA">
        <w:rPr>
          <w:rFonts w:eastAsia="Cambria"/>
          <w:sz w:val="24"/>
          <w:szCs w:val="24"/>
        </w:rPr>
        <w:t xml:space="preserve"> </w:t>
      </w:r>
      <w:r w:rsidRPr="009662DA">
        <w:rPr>
          <w:sz w:val="24"/>
          <w:szCs w:val="24"/>
        </w:rPr>
        <w:t xml:space="preserve">is </w:t>
      </w:r>
      <w:r w:rsidR="009662DA">
        <w:rPr>
          <w:sz w:val="24"/>
          <w:szCs w:val="24"/>
        </w:rPr>
        <w:t xml:space="preserve">a general trend of a gradual positive increase in </w:t>
      </w:r>
      <w:r w:rsidR="009662DA" w:rsidRPr="009662DA">
        <w:rPr>
          <w:color w:val="222222"/>
          <w:sz w:val="24"/>
          <w:szCs w:val="24"/>
          <w:highlight w:val="white"/>
        </w:rPr>
        <w:t>Ψ</w:t>
      </w:r>
      <w:r w:rsidR="009662DA" w:rsidRPr="009662DA">
        <w:rPr>
          <w:rFonts w:eastAsia="Cambria"/>
          <w:sz w:val="24"/>
          <w:szCs w:val="24"/>
        </w:rPr>
        <w:t xml:space="preserve"> value</w:t>
      </w:r>
      <w:r w:rsidR="009662DA">
        <w:rPr>
          <w:rFonts w:eastAsia="Cambria"/>
          <w:sz w:val="24"/>
          <w:szCs w:val="24"/>
        </w:rPr>
        <w:t xml:space="preserve"> from 2010</w:t>
      </w:r>
      <w:r w:rsidRPr="009662DA">
        <w:rPr>
          <w:sz w:val="24"/>
          <w:szCs w:val="24"/>
        </w:rPr>
        <w:t xml:space="preserve"> which means that th</w:t>
      </w:r>
      <w:r w:rsidR="009662DA" w:rsidRPr="009662DA">
        <w:rPr>
          <w:sz w:val="24"/>
          <w:szCs w:val="24"/>
        </w:rPr>
        <w:t xml:space="preserve">at the </w:t>
      </w:r>
      <w:r w:rsidRPr="009662DA">
        <w:rPr>
          <w:sz w:val="24"/>
          <w:szCs w:val="24"/>
        </w:rPr>
        <w:t xml:space="preserve">income share owned </w:t>
      </w:r>
      <w:r w:rsidR="009662DA" w:rsidRPr="009662DA">
        <w:rPr>
          <w:sz w:val="24"/>
          <w:szCs w:val="24"/>
        </w:rPr>
        <w:t xml:space="preserve">by the top 1-10% is </w:t>
      </w:r>
      <w:r w:rsidR="009662DA">
        <w:rPr>
          <w:sz w:val="24"/>
          <w:szCs w:val="24"/>
        </w:rPr>
        <w:lastRenderedPageBreak/>
        <w:t xml:space="preserve">slowly </w:t>
      </w:r>
      <w:r w:rsidR="009662DA" w:rsidRPr="009662DA">
        <w:rPr>
          <w:sz w:val="24"/>
          <w:szCs w:val="24"/>
        </w:rPr>
        <w:t>growing</w:t>
      </w:r>
      <w:r w:rsidR="009662DA">
        <w:rPr>
          <w:sz w:val="24"/>
          <w:szCs w:val="24"/>
        </w:rPr>
        <w:t>.</w:t>
      </w:r>
      <w:r w:rsidR="001C60E7">
        <w:rPr>
          <w:sz w:val="24"/>
          <w:szCs w:val="24"/>
        </w:rPr>
        <w:t xml:space="preserve"> This </w:t>
      </w:r>
      <w:proofErr w:type="spellStart"/>
      <w:r w:rsidR="001C60E7">
        <w:rPr>
          <w:sz w:val="24"/>
          <w:szCs w:val="24"/>
        </w:rPr>
        <w:t>behaviour</w:t>
      </w:r>
      <w:proofErr w:type="spellEnd"/>
      <w:r w:rsidR="001C60E7">
        <w:rPr>
          <w:sz w:val="24"/>
          <w:szCs w:val="24"/>
        </w:rPr>
        <w:t xml:space="preserve"> is further accentuated when we examine the change in </w:t>
      </w:r>
      <w:r w:rsidR="001C60E7" w:rsidRPr="009662DA">
        <w:rPr>
          <w:color w:val="222222"/>
          <w:sz w:val="24"/>
          <w:szCs w:val="24"/>
          <w:highlight w:val="white"/>
        </w:rPr>
        <w:t>Ψ</w:t>
      </w:r>
      <w:r w:rsidR="001C60E7" w:rsidRPr="009662DA">
        <w:rPr>
          <w:rFonts w:eastAsia="Cambria"/>
          <w:sz w:val="24"/>
          <w:szCs w:val="24"/>
        </w:rPr>
        <w:t xml:space="preserve"> value</w:t>
      </w:r>
      <w:r w:rsidR="001C60E7">
        <w:rPr>
          <w:rFonts w:eastAsia="Cambria"/>
          <w:sz w:val="24"/>
          <w:szCs w:val="24"/>
        </w:rPr>
        <w:t xml:space="preserve"> for the bottom 90%.</w:t>
      </w:r>
    </w:p>
    <w:p w:rsidR="00516E15" w:rsidRDefault="00516E15">
      <w:pPr>
        <w:spacing w:line="360" w:lineRule="auto"/>
        <w:jc w:val="both"/>
        <w:rPr>
          <w:sz w:val="24"/>
          <w:szCs w:val="24"/>
        </w:rPr>
      </w:pPr>
    </w:p>
    <w:p w:rsidR="001C60E7" w:rsidRDefault="001C60E7">
      <w:pPr>
        <w:spacing w:line="360" w:lineRule="auto"/>
        <w:jc w:val="both"/>
        <w:rPr>
          <w:sz w:val="24"/>
          <w:szCs w:val="24"/>
        </w:rPr>
      </w:pPr>
      <w:r>
        <w:rPr>
          <w:sz w:val="24"/>
          <w:szCs w:val="24"/>
        </w:rPr>
        <w:t>F</w:t>
      </w:r>
      <w:r w:rsidR="000825C8">
        <w:rPr>
          <w:sz w:val="24"/>
          <w:szCs w:val="24"/>
        </w:rPr>
        <w:t xml:space="preserve">or the bottom 90%, initially from the year 1974 to 2000, </w:t>
      </w:r>
      <w:r>
        <w:rPr>
          <w:sz w:val="24"/>
          <w:szCs w:val="24"/>
        </w:rPr>
        <w:t xml:space="preserve">its </w:t>
      </w:r>
      <w:r w:rsidRPr="009662DA">
        <w:rPr>
          <w:color w:val="222222"/>
          <w:sz w:val="24"/>
          <w:szCs w:val="24"/>
          <w:highlight w:val="white"/>
        </w:rPr>
        <w:t>Ψ</w:t>
      </w:r>
      <w:r w:rsidRPr="009662DA">
        <w:rPr>
          <w:rFonts w:eastAsia="Cambria"/>
          <w:sz w:val="24"/>
          <w:szCs w:val="24"/>
        </w:rPr>
        <w:t xml:space="preserve"> value</w:t>
      </w:r>
      <w:r w:rsidR="000825C8">
        <w:rPr>
          <w:sz w:val="24"/>
          <w:szCs w:val="24"/>
        </w:rPr>
        <w:t xml:space="preserve"> is higher than the ideal inequality line of 0%</w:t>
      </w:r>
      <w:r>
        <w:rPr>
          <w:sz w:val="24"/>
          <w:szCs w:val="24"/>
        </w:rPr>
        <w:t>. T</w:t>
      </w:r>
      <w:r w:rsidR="000825C8">
        <w:rPr>
          <w:sz w:val="24"/>
          <w:szCs w:val="24"/>
        </w:rPr>
        <w:t xml:space="preserve">his means that the bottom 90% </w:t>
      </w:r>
      <w:r>
        <w:rPr>
          <w:sz w:val="24"/>
          <w:szCs w:val="24"/>
        </w:rPr>
        <w:t>was receiving more than the ideal amount of share</w:t>
      </w:r>
      <w:r w:rsidR="000825C8">
        <w:rPr>
          <w:sz w:val="24"/>
          <w:szCs w:val="24"/>
        </w:rPr>
        <w:t xml:space="preserve">. </w:t>
      </w:r>
      <w:r w:rsidR="0039501A">
        <w:rPr>
          <w:sz w:val="24"/>
          <w:szCs w:val="24"/>
        </w:rPr>
        <w:t xml:space="preserve">It is interesting to note that around the </w:t>
      </w:r>
      <w:r w:rsidR="00902C67">
        <w:rPr>
          <w:sz w:val="24"/>
          <w:szCs w:val="24"/>
        </w:rPr>
        <w:t xml:space="preserve">late </w:t>
      </w:r>
      <w:r w:rsidR="0039501A">
        <w:rPr>
          <w:sz w:val="24"/>
          <w:szCs w:val="24"/>
        </w:rPr>
        <w:t xml:space="preserve">1980s, the </w:t>
      </w:r>
      <w:r w:rsidR="00902C67">
        <w:rPr>
          <w:sz w:val="24"/>
          <w:szCs w:val="24"/>
        </w:rPr>
        <w:t xml:space="preserve">share of the </w:t>
      </w:r>
      <w:r w:rsidR="0039501A">
        <w:rPr>
          <w:sz w:val="24"/>
          <w:szCs w:val="24"/>
        </w:rPr>
        <w:t>bottom 90%</w:t>
      </w:r>
      <w:r w:rsidR="00902C67">
        <w:rPr>
          <w:sz w:val="24"/>
          <w:szCs w:val="24"/>
        </w:rPr>
        <w:t xml:space="preserve"> is actually extremely close to ideal. </w:t>
      </w:r>
      <w:r w:rsidR="000825C8">
        <w:rPr>
          <w:sz w:val="24"/>
          <w:szCs w:val="24"/>
        </w:rPr>
        <w:t xml:space="preserve">However, from the year </w:t>
      </w:r>
      <w:r>
        <w:rPr>
          <w:sz w:val="24"/>
          <w:szCs w:val="24"/>
        </w:rPr>
        <w:t>2000</w:t>
      </w:r>
      <w:r w:rsidR="000825C8">
        <w:rPr>
          <w:sz w:val="24"/>
          <w:szCs w:val="24"/>
        </w:rPr>
        <w:t xml:space="preserve"> to 2014, the income</w:t>
      </w:r>
      <w:r>
        <w:rPr>
          <w:sz w:val="24"/>
          <w:szCs w:val="24"/>
        </w:rPr>
        <w:t xml:space="preserve"> share</w:t>
      </w:r>
      <w:r w:rsidR="000825C8">
        <w:rPr>
          <w:sz w:val="24"/>
          <w:szCs w:val="24"/>
        </w:rPr>
        <w:t xml:space="preserve"> owned by the bottom 90% start</w:t>
      </w:r>
      <w:r>
        <w:rPr>
          <w:sz w:val="24"/>
          <w:szCs w:val="24"/>
        </w:rPr>
        <w:t>ed to decline</w:t>
      </w:r>
      <w:r w:rsidR="000825C8">
        <w:rPr>
          <w:sz w:val="24"/>
          <w:szCs w:val="24"/>
        </w:rPr>
        <w:t xml:space="preserve"> and </w:t>
      </w:r>
      <w:r>
        <w:rPr>
          <w:sz w:val="24"/>
          <w:szCs w:val="24"/>
        </w:rPr>
        <w:t xml:space="preserve">this causes its </w:t>
      </w:r>
      <w:r w:rsidRPr="009662DA">
        <w:rPr>
          <w:color w:val="222222"/>
          <w:sz w:val="24"/>
          <w:szCs w:val="24"/>
          <w:highlight w:val="white"/>
        </w:rPr>
        <w:t>Ψ</w:t>
      </w:r>
      <w:r w:rsidRPr="009662DA">
        <w:rPr>
          <w:rFonts w:eastAsia="Cambria"/>
          <w:sz w:val="24"/>
          <w:szCs w:val="24"/>
        </w:rPr>
        <w:t xml:space="preserve"> value</w:t>
      </w:r>
      <w:r>
        <w:rPr>
          <w:sz w:val="24"/>
          <w:szCs w:val="24"/>
        </w:rPr>
        <w:t xml:space="preserve"> to also decrease, and subsequently </w:t>
      </w:r>
      <w:r w:rsidR="000825C8">
        <w:rPr>
          <w:sz w:val="24"/>
          <w:szCs w:val="24"/>
        </w:rPr>
        <w:t>enter the negative value range</w:t>
      </w:r>
      <w:r>
        <w:rPr>
          <w:sz w:val="24"/>
          <w:szCs w:val="24"/>
        </w:rPr>
        <w:t>,</w:t>
      </w:r>
      <w:r w:rsidR="000825C8">
        <w:rPr>
          <w:sz w:val="24"/>
          <w:szCs w:val="24"/>
        </w:rPr>
        <w:t xml:space="preserve"> indicating that they are owning less than the ideal share.</w:t>
      </w:r>
      <w:r>
        <w:rPr>
          <w:sz w:val="24"/>
          <w:szCs w:val="24"/>
        </w:rPr>
        <w:t xml:space="preserve"> This supports the </w:t>
      </w:r>
      <w:proofErr w:type="spellStart"/>
      <w:r>
        <w:rPr>
          <w:sz w:val="24"/>
          <w:szCs w:val="24"/>
        </w:rPr>
        <w:t>behaviour</w:t>
      </w:r>
      <w:proofErr w:type="spellEnd"/>
      <w:r>
        <w:rPr>
          <w:sz w:val="24"/>
          <w:szCs w:val="24"/>
        </w:rPr>
        <w:t xml:space="preserve"> we observed for the </w:t>
      </w:r>
      <w:r w:rsidRPr="009662DA">
        <w:rPr>
          <w:color w:val="222222"/>
          <w:sz w:val="24"/>
          <w:szCs w:val="24"/>
          <w:highlight w:val="white"/>
        </w:rPr>
        <w:t>Ψ</w:t>
      </w:r>
      <w:r w:rsidRPr="009662DA">
        <w:rPr>
          <w:rFonts w:eastAsia="Cambria"/>
          <w:sz w:val="24"/>
          <w:szCs w:val="24"/>
        </w:rPr>
        <w:t xml:space="preserve"> value</w:t>
      </w:r>
      <w:r>
        <w:rPr>
          <w:rFonts w:eastAsia="Cambria"/>
          <w:sz w:val="24"/>
          <w:szCs w:val="24"/>
        </w:rPr>
        <w:t xml:space="preserve"> of the top 1-10% in recent years</w:t>
      </w:r>
      <w:r w:rsidR="0039501A">
        <w:rPr>
          <w:sz w:val="24"/>
          <w:szCs w:val="24"/>
        </w:rPr>
        <w:t xml:space="preserve">. Since the share of the top 1%, next 9% and the bottom 90% must add up to 100%, a decrease in the share of the bottom 90% will correspond to an increase in either or both the share of the top 1% and the next 9%. In other words, if the bottom 90% is beginning to own less than the ideal share, we can observe that the top 1% or the top 1-10% is beginning to own more than the ideal share. In our case, we can observe that the </w:t>
      </w:r>
      <w:r w:rsidR="0039501A" w:rsidRPr="009662DA">
        <w:rPr>
          <w:color w:val="222222"/>
          <w:sz w:val="24"/>
          <w:szCs w:val="24"/>
          <w:highlight w:val="white"/>
        </w:rPr>
        <w:t>Ψ</w:t>
      </w:r>
      <w:r w:rsidR="0039501A" w:rsidRPr="009662DA">
        <w:rPr>
          <w:rFonts w:eastAsia="Cambria"/>
          <w:sz w:val="24"/>
          <w:szCs w:val="24"/>
        </w:rPr>
        <w:t xml:space="preserve"> value</w:t>
      </w:r>
      <w:r w:rsidR="0039501A">
        <w:rPr>
          <w:rFonts w:eastAsia="Cambria"/>
          <w:sz w:val="24"/>
          <w:szCs w:val="24"/>
        </w:rPr>
        <w:t xml:space="preserve"> of the top 1-10% is gradually increasing while the </w:t>
      </w:r>
      <w:r w:rsidR="0039501A" w:rsidRPr="009662DA">
        <w:rPr>
          <w:color w:val="222222"/>
          <w:sz w:val="24"/>
          <w:szCs w:val="24"/>
          <w:highlight w:val="white"/>
        </w:rPr>
        <w:t>Ψ</w:t>
      </w:r>
      <w:r w:rsidR="0039501A" w:rsidRPr="009662DA">
        <w:rPr>
          <w:rFonts w:eastAsia="Cambria"/>
          <w:sz w:val="24"/>
          <w:szCs w:val="24"/>
        </w:rPr>
        <w:t xml:space="preserve"> value</w:t>
      </w:r>
      <w:r w:rsidR="0039501A">
        <w:rPr>
          <w:rFonts w:eastAsia="Cambria"/>
          <w:sz w:val="24"/>
          <w:szCs w:val="24"/>
        </w:rPr>
        <w:t xml:space="preserve"> of the bottom 90% declines in recent years.</w:t>
      </w:r>
    </w:p>
    <w:p w:rsidR="001C60E7" w:rsidRDefault="001C60E7">
      <w:pPr>
        <w:spacing w:line="360" w:lineRule="auto"/>
        <w:jc w:val="both"/>
        <w:rPr>
          <w:sz w:val="24"/>
          <w:szCs w:val="24"/>
        </w:rPr>
      </w:pPr>
    </w:p>
    <w:p w:rsidR="001159B8" w:rsidRDefault="000825C8">
      <w:pPr>
        <w:spacing w:line="360" w:lineRule="auto"/>
        <w:jc w:val="both"/>
        <w:rPr>
          <w:sz w:val="24"/>
          <w:szCs w:val="24"/>
        </w:rPr>
      </w:pPr>
      <w:r>
        <w:rPr>
          <w:sz w:val="24"/>
          <w:szCs w:val="24"/>
        </w:rPr>
        <w:t xml:space="preserve">Comparing all 3 income groups, it can be observed visually that the </w:t>
      </w:r>
      <w:r w:rsidR="0039501A">
        <w:rPr>
          <w:sz w:val="24"/>
          <w:szCs w:val="24"/>
        </w:rPr>
        <w:t xml:space="preserve">corresponding </w:t>
      </w:r>
      <w:r w:rsidR="0039501A" w:rsidRPr="009662DA">
        <w:rPr>
          <w:color w:val="222222"/>
          <w:sz w:val="24"/>
          <w:szCs w:val="24"/>
          <w:highlight w:val="white"/>
        </w:rPr>
        <w:t>Ψ</w:t>
      </w:r>
      <w:r w:rsidR="0039501A" w:rsidRPr="009662DA">
        <w:rPr>
          <w:rFonts w:eastAsia="Cambria"/>
          <w:sz w:val="24"/>
          <w:szCs w:val="24"/>
        </w:rPr>
        <w:t xml:space="preserve"> value</w:t>
      </w:r>
      <w:r w:rsidR="0039501A">
        <w:rPr>
          <w:rFonts w:eastAsia="Cambria"/>
          <w:sz w:val="24"/>
          <w:szCs w:val="24"/>
        </w:rPr>
        <w:t xml:space="preserve">s of the 3 groups are relatively stable and </w:t>
      </w:r>
      <w:r w:rsidR="001159B8">
        <w:rPr>
          <w:rFonts w:eastAsia="Cambria"/>
          <w:sz w:val="24"/>
          <w:szCs w:val="24"/>
        </w:rPr>
        <w:t>even improving</w:t>
      </w:r>
      <w:r>
        <w:rPr>
          <w:sz w:val="24"/>
          <w:szCs w:val="24"/>
        </w:rPr>
        <w:t xml:space="preserve"> from 1974 to 1992</w:t>
      </w:r>
      <w:r w:rsidR="0039501A">
        <w:rPr>
          <w:sz w:val="24"/>
          <w:szCs w:val="24"/>
        </w:rPr>
        <w:t>. H</w:t>
      </w:r>
      <w:r>
        <w:rPr>
          <w:sz w:val="24"/>
          <w:szCs w:val="24"/>
        </w:rPr>
        <w:t>owever</w:t>
      </w:r>
      <w:r w:rsidR="00902C67">
        <w:rPr>
          <w:sz w:val="24"/>
          <w:szCs w:val="24"/>
        </w:rPr>
        <w:t xml:space="preserve">, </w:t>
      </w:r>
      <w:r>
        <w:rPr>
          <w:sz w:val="24"/>
          <w:szCs w:val="24"/>
        </w:rPr>
        <w:t>from the year 1993 onwards,</w:t>
      </w:r>
      <w:r w:rsidR="00902C67">
        <w:rPr>
          <w:sz w:val="24"/>
          <w:szCs w:val="24"/>
        </w:rPr>
        <w:t xml:space="preserve"> there seems to be a drastic change in their </w:t>
      </w:r>
      <w:r w:rsidR="00902C67" w:rsidRPr="009662DA">
        <w:rPr>
          <w:color w:val="222222"/>
          <w:sz w:val="24"/>
          <w:szCs w:val="24"/>
          <w:highlight w:val="white"/>
        </w:rPr>
        <w:t>Ψ</w:t>
      </w:r>
      <w:r w:rsidR="00902C67" w:rsidRPr="009662DA">
        <w:rPr>
          <w:rFonts w:eastAsia="Cambria"/>
          <w:sz w:val="24"/>
          <w:szCs w:val="24"/>
        </w:rPr>
        <w:t xml:space="preserve"> value</w:t>
      </w:r>
      <w:r w:rsidR="00902C67">
        <w:rPr>
          <w:rFonts w:eastAsia="Cambria"/>
          <w:sz w:val="24"/>
          <w:szCs w:val="24"/>
        </w:rPr>
        <w:t>s and an overall increase in inequality in the income distribution ever since then.</w:t>
      </w:r>
      <w:r w:rsidR="00902C67">
        <w:rPr>
          <w:sz w:val="24"/>
          <w:szCs w:val="24"/>
        </w:rPr>
        <w:t xml:space="preserve"> It was also in this same period that Singapore experienced a rapid economic growth and was emerging as a 1</w:t>
      </w:r>
      <w:r w:rsidR="00902C67" w:rsidRPr="00902C67">
        <w:rPr>
          <w:sz w:val="24"/>
          <w:szCs w:val="24"/>
          <w:vertAlign w:val="superscript"/>
        </w:rPr>
        <w:t>st</w:t>
      </w:r>
      <w:r w:rsidR="00902C67">
        <w:rPr>
          <w:sz w:val="24"/>
          <w:szCs w:val="24"/>
        </w:rPr>
        <w:t xml:space="preserve"> world country. </w:t>
      </w:r>
      <w:r w:rsidR="001159B8">
        <w:rPr>
          <w:sz w:val="24"/>
          <w:szCs w:val="24"/>
        </w:rPr>
        <w:t>This is a rather puzzling result since rapid economic growth is a good thing but statistics have shown that the inequality is actually widening. This leads our</w:t>
      </w:r>
      <w:r w:rsidR="00902C67">
        <w:rPr>
          <w:sz w:val="24"/>
          <w:szCs w:val="24"/>
        </w:rPr>
        <w:t xml:space="preserve"> group </w:t>
      </w:r>
      <w:r w:rsidR="001159B8">
        <w:rPr>
          <w:sz w:val="24"/>
          <w:szCs w:val="24"/>
        </w:rPr>
        <w:t>to believe</w:t>
      </w:r>
      <w:r w:rsidR="00902C67">
        <w:rPr>
          <w:sz w:val="24"/>
          <w:szCs w:val="24"/>
        </w:rPr>
        <w:t xml:space="preserve"> that perhaps there is a </w:t>
      </w:r>
      <w:r w:rsidR="001159B8">
        <w:rPr>
          <w:sz w:val="24"/>
          <w:szCs w:val="24"/>
        </w:rPr>
        <w:t xml:space="preserve">positive </w:t>
      </w:r>
      <w:r w:rsidR="00902C67">
        <w:rPr>
          <w:sz w:val="24"/>
          <w:szCs w:val="24"/>
        </w:rPr>
        <w:t xml:space="preserve">correlation between </w:t>
      </w:r>
      <w:r w:rsidR="001159B8">
        <w:rPr>
          <w:sz w:val="24"/>
          <w:szCs w:val="24"/>
        </w:rPr>
        <w:t xml:space="preserve">the rate of economic growth and widening income inequality. It is important to note that a high rate of economic growth does not mean that the rate will be sustainable. What we meant over here is that when a country experiences a rapid boost in economy in an extremely short period of time, there is a high probability that it is the top 1% or the next 9% who </w:t>
      </w:r>
      <w:r w:rsidR="00A86AA1">
        <w:rPr>
          <w:sz w:val="24"/>
          <w:szCs w:val="24"/>
        </w:rPr>
        <w:t xml:space="preserve">will benefit the most from this. This is because this group of people are the executives and </w:t>
      </w:r>
      <w:r w:rsidR="00A86AA1">
        <w:rPr>
          <w:sz w:val="24"/>
          <w:szCs w:val="24"/>
        </w:rPr>
        <w:lastRenderedPageBreak/>
        <w:t>they are the ones who control the income distribution of the corporations. Therefore, empirically, they would benefit more from economic growth and earn more as a result, hence a widening income inequality.</w:t>
      </w:r>
    </w:p>
    <w:p w:rsidR="001159B8" w:rsidRDefault="001159B8">
      <w:pPr>
        <w:rPr>
          <w:sz w:val="24"/>
          <w:szCs w:val="24"/>
        </w:rPr>
      </w:pPr>
    </w:p>
    <w:p w:rsidR="007A5D2F" w:rsidRDefault="000825C8">
      <w:pPr>
        <w:jc w:val="both"/>
        <w:rPr>
          <w:sz w:val="28"/>
          <w:szCs w:val="28"/>
        </w:rPr>
      </w:pPr>
      <w:r>
        <w:rPr>
          <w:sz w:val="28"/>
          <w:szCs w:val="28"/>
        </w:rPr>
        <w:t>2.1 Malaysia</w:t>
      </w:r>
    </w:p>
    <w:p w:rsidR="007A5D2F" w:rsidRDefault="000825C8">
      <w:pPr>
        <w:jc w:val="both"/>
        <w:rPr>
          <w:b/>
          <w:sz w:val="24"/>
          <w:szCs w:val="24"/>
        </w:rPr>
      </w:pPr>
      <w:r>
        <w:rPr>
          <w:b/>
          <w:sz w:val="24"/>
          <w:szCs w:val="24"/>
        </w:rPr>
        <w:t>Malaysia (Table Form):</w:t>
      </w:r>
    </w:p>
    <w:p w:rsidR="007A5D2F" w:rsidRDefault="005658B5">
      <w:pPr>
        <w:jc w:val="both"/>
        <w:rPr>
          <w:b/>
          <w:sz w:val="24"/>
          <w:szCs w:val="24"/>
        </w:rPr>
      </w:pPr>
      <w:hyperlink r:id="rId15">
        <w:r w:rsidR="000825C8">
          <w:rPr>
            <w:color w:val="0000FF"/>
            <w:u w:val="single"/>
          </w:rPr>
          <w:t>https://www.imoney.my/articles/malaysia-highest-paying-jobs-2017</w:t>
        </w:r>
      </w:hyperlink>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A5D2F">
        <w:trPr>
          <w:trHeight w:val="78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DATA GROUP</w:t>
            </w:r>
          </w:p>
        </w:tc>
        <w:tc>
          <w:tcPr>
            <w:tcW w:w="4680" w:type="dxa"/>
            <w:shd w:val="clear" w:color="auto" w:fill="auto"/>
            <w:tcMar>
              <w:top w:w="100" w:type="dxa"/>
              <w:left w:w="100" w:type="dxa"/>
              <w:bottom w:w="100" w:type="dxa"/>
              <w:right w:w="100" w:type="dxa"/>
            </w:tcMar>
          </w:tcPr>
          <w:p w:rsidR="007A5D2F" w:rsidRDefault="00A86AA1">
            <w:pPr>
              <w:widowControl w:val="0"/>
              <w:spacing w:line="240" w:lineRule="auto"/>
              <w:jc w:val="both"/>
              <w:rPr>
                <w:b/>
                <w:sz w:val="24"/>
                <w:szCs w:val="24"/>
              </w:rPr>
            </w:pPr>
            <w:r>
              <w:rPr>
                <w:b/>
                <w:sz w:val="24"/>
                <w:szCs w:val="24"/>
              </w:rPr>
              <w:t>Income</w:t>
            </w:r>
          </w:p>
        </w:tc>
      </w:tr>
      <w:tr w:rsidR="007A5D2F">
        <w:trPr>
          <w:trHeight w:val="78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Minimum Wage (2018)</w:t>
            </w:r>
          </w:p>
          <w:p w:rsidR="007A5D2F" w:rsidRDefault="000825C8">
            <w:pPr>
              <w:widowControl w:val="0"/>
              <w:spacing w:line="240" w:lineRule="auto"/>
              <w:jc w:val="both"/>
              <w:rPr>
                <w:b/>
                <w:sz w:val="24"/>
                <w:szCs w:val="24"/>
              </w:rPr>
            </w:pPr>
            <w:r>
              <w:rPr>
                <w:b/>
                <w:sz w:val="24"/>
                <w:szCs w:val="24"/>
              </w:rPr>
              <w:t>Average Wage (2017)</w:t>
            </w:r>
          </w:p>
          <w:p w:rsidR="007A5D2F" w:rsidRDefault="000825C8">
            <w:pPr>
              <w:widowControl w:val="0"/>
              <w:spacing w:line="240" w:lineRule="auto"/>
              <w:jc w:val="both"/>
              <w:rPr>
                <w:b/>
                <w:sz w:val="24"/>
                <w:szCs w:val="24"/>
              </w:rPr>
            </w:pPr>
            <w:r>
              <w:rPr>
                <w:b/>
                <w:sz w:val="24"/>
                <w:szCs w:val="24"/>
              </w:rPr>
              <w:t>Maximum Wage (2017)</w:t>
            </w:r>
          </w:p>
        </w:tc>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sz w:val="24"/>
                <w:szCs w:val="24"/>
              </w:rPr>
            </w:pPr>
            <w:r>
              <w:rPr>
                <w:sz w:val="24"/>
                <w:szCs w:val="24"/>
              </w:rPr>
              <w:t>MYR12,600/year (~SGD4,174.55)</w:t>
            </w:r>
          </w:p>
          <w:p w:rsidR="007A5D2F" w:rsidRDefault="000825C8">
            <w:pPr>
              <w:widowControl w:val="0"/>
              <w:spacing w:line="240" w:lineRule="auto"/>
              <w:jc w:val="both"/>
              <w:rPr>
                <w:sz w:val="24"/>
                <w:szCs w:val="24"/>
              </w:rPr>
            </w:pPr>
            <w:r>
              <w:rPr>
                <w:sz w:val="24"/>
                <w:szCs w:val="24"/>
              </w:rPr>
              <w:t>MYR60,000/year (~SGD19,877.5)</w:t>
            </w:r>
          </w:p>
          <w:p w:rsidR="007A5D2F" w:rsidRDefault="000825C8">
            <w:pPr>
              <w:widowControl w:val="0"/>
              <w:spacing w:line="240" w:lineRule="auto"/>
              <w:jc w:val="both"/>
              <w:rPr>
                <w:sz w:val="24"/>
                <w:szCs w:val="24"/>
              </w:rPr>
            </w:pPr>
            <w:r>
              <w:rPr>
                <w:sz w:val="24"/>
                <w:szCs w:val="24"/>
              </w:rPr>
              <w:t>MYR999,996/year(~SGD331,290.4)</w:t>
            </w:r>
          </w:p>
        </w:tc>
      </w:tr>
    </w:tbl>
    <w:p w:rsidR="007A5D2F" w:rsidRDefault="007A5D2F">
      <w:pPr>
        <w:rPr>
          <w:sz w:val="28"/>
          <w:szCs w:val="28"/>
        </w:rPr>
      </w:pPr>
    </w:p>
    <w:p w:rsidR="007A5D2F" w:rsidRDefault="000825C8">
      <w:pPr>
        <w:jc w:val="both"/>
        <w:rPr>
          <w:sz w:val="28"/>
          <w:szCs w:val="28"/>
        </w:rPr>
      </w:pPr>
      <w:r>
        <w:rPr>
          <w:sz w:val="28"/>
          <w:szCs w:val="28"/>
        </w:rPr>
        <w:t>2.1.1 Income distribution over the years</w:t>
      </w:r>
    </w:p>
    <w:p w:rsidR="007A5D2F" w:rsidRDefault="007A5D2F">
      <w:pPr>
        <w:jc w:val="both"/>
        <w:rPr>
          <w:sz w:val="28"/>
          <w:szCs w:val="28"/>
        </w:rPr>
      </w:pPr>
    </w:p>
    <w:p w:rsidR="007A5D2F" w:rsidRDefault="00126A02">
      <w:pPr>
        <w:spacing w:line="360" w:lineRule="auto"/>
        <w:jc w:val="both"/>
        <w:rPr>
          <w:sz w:val="24"/>
          <w:szCs w:val="24"/>
        </w:rPr>
      </w:pPr>
      <w:r>
        <w:rPr>
          <w:sz w:val="24"/>
          <w:szCs w:val="24"/>
        </w:rPr>
        <w:t xml:space="preserve">Unlike many other countries, </w:t>
      </w:r>
      <w:r w:rsidR="000825C8">
        <w:rPr>
          <w:sz w:val="24"/>
          <w:szCs w:val="24"/>
        </w:rPr>
        <w:t xml:space="preserve">Malaysia </w:t>
      </w:r>
      <w:r>
        <w:rPr>
          <w:sz w:val="24"/>
          <w:szCs w:val="24"/>
        </w:rPr>
        <w:t xml:space="preserve">has </w:t>
      </w:r>
      <w:r w:rsidR="005B3235">
        <w:rPr>
          <w:sz w:val="24"/>
          <w:szCs w:val="24"/>
        </w:rPr>
        <w:t>many gaps</w:t>
      </w:r>
      <w:r>
        <w:rPr>
          <w:sz w:val="24"/>
          <w:szCs w:val="24"/>
        </w:rPr>
        <w:t xml:space="preserve"> in its</w:t>
      </w:r>
      <w:r w:rsidR="000825C8">
        <w:rPr>
          <w:sz w:val="24"/>
          <w:szCs w:val="24"/>
        </w:rPr>
        <w:t xml:space="preserve"> data with missing values and income share</w:t>
      </w:r>
      <w:r>
        <w:rPr>
          <w:sz w:val="24"/>
          <w:szCs w:val="24"/>
        </w:rPr>
        <w:t xml:space="preserve"> for quite a number of years</w:t>
      </w:r>
      <w:r w:rsidR="000825C8">
        <w:rPr>
          <w:sz w:val="24"/>
          <w:szCs w:val="24"/>
        </w:rPr>
        <w:t>. Therefore, the analysis can only be done with limited data.</w:t>
      </w:r>
    </w:p>
    <w:p w:rsidR="007A5D2F" w:rsidRDefault="007A5D2F">
      <w:pPr>
        <w:jc w:val="both"/>
        <w:rPr>
          <w:sz w:val="24"/>
          <w:szCs w:val="24"/>
        </w:rPr>
      </w:pPr>
    </w:p>
    <w:p w:rsidR="007A5D2F" w:rsidRDefault="000825C8">
      <w:pPr>
        <w:jc w:val="both"/>
        <w:rPr>
          <w:sz w:val="28"/>
          <w:szCs w:val="28"/>
        </w:rPr>
      </w:pPr>
      <w:r>
        <w:rPr>
          <w:sz w:val="28"/>
          <w:szCs w:val="28"/>
          <w:u w:val="single"/>
        </w:rPr>
        <w:t>Pre-Tax</w:t>
      </w:r>
    </w:p>
    <w:p w:rsidR="007A5D2F" w:rsidRDefault="000825C8" w:rsidP="005B3235">
      <w:pPr>
        <w:jc w:val="center"/>
        <w:rPr>
          <w:sz w:val="28"/>
          <w:szCs w:val="28"/>
        </w:rPr>
      </w:pPr>
      <w:r>
        <w:rPr>
          <w:noProof/>
        </w:rPr>
        <w:drawing>
          <wp:inline distT="0" distB="0" distL="0" distR="0">
            <wp:extent cx="5249636" cy="317590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268815" cy="3187510"/>
                    </a:xfrm>
                    <a:prstGeom prst="rect">
                      <a:avLst/>
                    </a:prstGeom>
                    <a:ln/>
                  </pic:spPr>
                </pic:pic>
              </a:graphicData>
            </a:graphic>
          </wp:inline>
        </w:drawing>
      </w:r>
    </w:p>
    <w:p w:rsidR="005B3235" w:rsidRPr="005B3235" w:rsidRDefault="005B3235" w:rsidP="005B3235">
      <w:pPr>
        <w:jc w:val="both"/>
        <w:rPr>
          <w:sz w:val="28"/>
          <w:szCs w:val="28"/>
        </w:rPr>
      </w:pPr>
    </w:p>
    <w:p w:rsidR="007A5D2F" w:rsidRPr="005B3235" w:rsidRDefault="000825C8">
      <w:pPr>
        <w:jc w:val="both"/>
        <w:rPr>
          <w:b/>
          <w:sz w:val="24"/>
          <w:szCs w:val="24"/>
          <w:u w:val="single"/>
        </w:rPr>
      </w:pPr>
      <w:r>
        <w:rPr>
          <w:b/>
          <w:sz w:val="24"/>
          <w:szCs w:val="24"/>
          <w:u w:val="single"/>
        </w:rPr>
        <w:t>ANALYSIS</w:t>
      </w:r>
    </w:p>
    <w:p w:rsidR="007A5D2F" w:rsidRDefault="000825C8">
      <w:pPr>
        <w:spacing w:line="360" w:lineRule="auto"/>
        <w:jc w:val="both"/>
        <w:rPr>
          <w:sz w:val="24"/>
          <w:szCs w:val="24"/>
        </w:rPr>
      </w:pPr>
      <w:r>
        <w:rPr>
          <w:sz w:val="24"/>
          <w:szCs w:val="24"/>
        </w:rPr>
        <w:t xml:space="preserve">In terms of the data obtained for Malaysia, a whole set of post-tax data appeared to be missing thus only the pre-tax information can be </w:t>
      </w:r>
      <w:proofErr w:type="spellStart"/>
      <w:r>
        <w:rPr>
          <w:sz w:val="24"/>
          <w:szCs w:val="24"/>
        </w:rPr>
        <w:t>analysed</w:t>
      </w:r>
      <w:proofErr w:type="spellEnd"/>
      <w:r>
        <w:rPr>
          <w:sz w:val="24"/>
          <w:szCs w:val="24"/>
        </w:rPr>
        <w:t xml:space="preserve">. As previously mentioned, the data set for the pre-tax data has large chunks of missing information over the years, thus the analysis of it is limited to only the data available. </w:t>
      </w:r>
    </w:p>
    <w:p w:rsidR="005B3235" w:rsidRDefault="005B3235">
      <w:pPr>
        <w:spacing w:line="360" w:lineRule="auto"/>
        <w:jc w:val="both"/>
        <w:rPr>
          <w:sz w:val="24"/>
          <w:szCs w:val="24"/>
        </w:rPr>
      </w:pPr>
    </w:p>
    <w:p w:rsidR="007A5D2F" w:rsidRDefault="000825C8">
      <w:pPr>
        <w:spacing w:line="360" w:lineRule="auto"/>
        <w:jc w:val="both"/>
        <w:rPr>
          <w:sz w:val="24"/>
          <w:szCs w:val="24"/>
        </w:rPr>
      </w:pPr>
      <w:r>
        <w:rPr>
          <w:sz w:val="24"/>
          <w:szCs w:val="24"/>
        </w:rPr>
        <w:t>Surprisingly, with the talks of corruption in Malaysia, coupled with Malaysia</w:t>
      </w:r>
      <w:r w:rsidR="00C90D3F">
        <w:rPr>
          <w:sz w:val="24"/>
          <w:szCs w:val="24"/>
        </w:rPr>
        <w:t xml:space="preserve"> having</w:t>
      </w:r>
      <w:r>
        <w:rPr>
          <w:sz w:val="24"/>
          <w:szCs w:val="24"/>
        </w:rPr>
        <w:t xml:space="preserve"> a corruption perception index of 47 which is perceived as more corrupt, the income share owned by the</w:t>
      </w:r>
      <w:r w:rsidR="00C90D3F">
        <w:rPr>
          <w:sz w:val="24"/>
          <w:szCs w:val="24"/>
        </w:rPr>
        <w:t xml:space="preserve"> top 1% </w:t>
      </w:r>
      <w:r>
        <w:rPr>
          <w:sz w:val="24"/>
          <w:szCs w:val="24"/>
        </w:rPr>
        <w:t xml:space="preserve">is </w:t>
      </w:r>
      <w:r w:rsidR="00C90D3F">
        <w:rPr>
          <w:sz w:val="24"/>
          <w:szCs w:val="24"/>
        </w:rPr>
        <w:t xml:space="preserve">actually </w:t>
      </w:r>
      <w:r>
        <w:rPr>
          <w:sz w:val="24"/>
          <w:szCs w:val="24"/>
        </w:rPr>
        <w:t xml:space="preserve">closer to the ideal condition of 0% </w:t>
      </w:r>
      <w:r w:rsidR="00C90D3F">
        <w:rPr>
          <w:sz w:val="24"/>
          <w:szCs w:val="24"/>
        </w:rPr>
        <w:t>in the later years as compared to in the mid-20</w:t>
      </w:r>
      <w:r w:rsidR="00C90D3F" w:rsidRPr="00C90D3F">
        <w:rPr>
          <w:sz w:val="24"/>
          <w:szCs w:val="24"/>
          <w:vertAlign w:val="superscript"/>
        </w:rPr>
        <w:t>th</w:t>
      </w:r>
      <w:r w:rsidR="00C90D3F">
        <w:rPr>
          <w:sz w:val="24"/>
          <w:szCs w:val="24"/>
        </w:rPr>
        <w:t xml:space="preserve"> century.</w:t>
      </w:r>
      <w:r>
        <w:rPr>
          <w:sz w:val="24"/>
          <w:szCs w:val="24"/>
        </w:rPr>
        <w:t xml:space="preserve"> From 1983 to 2011, with the </w:t>
      </w:r>
      <w:r w:rsidR="005B3235">
        <w:rPr>
          <w:sz w:val="24"/>
          <w:szCs w:val="24"/>
        </w:rPr>
        <w:t>discontinuous</w:t>
      </w:r>
      <w:r>
        <w:rPr>
          <w:sz w:val="24"/>
          <w:szCs w:val="24"/>
        </w:rPr>
        <w:t xml:space="preserve"> data, it is still observable that the </w:t>
      </w:r>
      <w:r w:rsidR="005B3235">
        <w:rPr>
          <w:sz w:val="24"/>
          <w:szCs w:val="24"/>
        </w:rPr>
        <w:t xml:space="preserve">top 1% owned about </w:t>
      </w:r>
      <w:r>
        <w:rPr>
          <w:sz w:val="24"/>
          <w:szCs w:val="24"/>
        </w:rPr>
        <w:t>~</w:t>
      </w:r>
      <w:r w:rsidR="005B3235">
        <w:rPr>
          <w:sz w:val="24"/>
          <w:szCs w:val="24"/>
        </w:rPr>
        <w:t>60</w:t>
      </w:r>
      <w:r>
        <w:rPr>
          <w:sz w:val="24"/>
          <w:szCs w:val="24"/>
        </w:rPr>
        <w:t xml:space="preserve">% more than their fair share, with it reaching a low of 40% to a high of only ~78%. This comes as a surprise as the top 1% in Malaysia </w:t>
      </w:r>
      <w:r w:rsidR="005B3235">
        <w:rPr>
          <w:sz w:val="24"/>
          <w:szCs w:val="24"/>
        </w:rPr>
        <w:t xml:space="preserve">is widely regarded as </w:t>
      </w:r>
      <w:r>
        <w:rPr>
          <w:sz w:val="24"/>
          <w:szCs w:val="24"/>
        </w:rPr>
        <w:t xml:space="preserve">being highly corrupted and </w:t>
      </w:r>
      <w:r w:rsidR="005B3235">
        <w:rPr>
          <w:sz w:val="24"/>
          <w:szCs w:val="24"/>
        </w:rPr>
        <w:t>yet they own</w:t>
      </w:r>
      <w:r w:rsidR="00C90D3F">
        <w:rPr>
          <w:sz w:val="24"/>
          <w:szCs w:val="24"/>
        </w:rPr>
        <w:t>ed</w:t>
      </w:r>
      <w:r w:rsidR="005B3235">
        <w:rPr>
          <w:sz w:val="24"/>
          <w:szCs w:val="24"/>
        </w:rPr>
        <w:t xml:space="preserve"> ~60% more than their fair share</w:t>
      </w:r>
      <w:r w:rsidR="00C90D3F">
        <w:rPr>
          <w:sz w:val="24"/>
          <w:szCs w:val="24"/>
        </w:rPr>
        <w:t xml:space="preserve"> which</w:t>
      </w:r>
      <w:r w:rsidR="005B3235">
        <w:rPr>
          <w:sz w:val="24"/>
          <w:szCs w:val="24"/>
        </w:rPr>
        <w:t xml:space="preserve"> </w:t>
      </w:r>
      <w:r>
        <w:rPr>
          <w:sz w:val="24"/>
          <w:szCs w:val="24"/>
        </w:rPr>
        <w:t xml:space="preserve">is considered </w:t>
      </w:r>
      <w:r w:rsidR="00C90D3F">
        <w:rPr>
          <w:sz w:val="24"/>
          <w:szCs w:val="24"/>
        </w:rPr>
        <w:t xml:space="preserve">relatively fairer than the top 1% in the </w:t>
      </w:r>
      <w:r>
        <w:rPr>
          <w:sz w:val="24"/>
          <w:szCs w:val="24"/>
        </w:rPr>
        <w:t>other countries</w:t>
      </w:r>
      <w:r w:rsidR="00C90D3F">
        <w:rPr>
          <w:sz w:val="24"/>
          <w:szCs w:val="24"/>
        </w:rPr>
        <w:t xml:space="preserve"> discussed in this report.</w:t>
      </w:r>
    </w:p>
    <w:p w:rsidR="00C90D3F" w:rsidRDefault="00C90D3F">
      <w:pPr>
        <w:spacing w:line="360" w:lineRule="auto"/>
        <w:jc w:val="both"/>
        <w:rPr>
          <w:sz w:val="24"/>
          <w:szCs w:val="24"/>
        </w:rPr>
      </w:pPr>
    </w:p>
    <w:p w:rsidR="007A5D2F" w:rsidRDefault="00C90D3F">
      <w:pPr>
        <w:spacing w:line="360" w:lineRule="auto"/>
        <w:jc w:val="both"/>
        <w:rPr>
          <w:rFonts w:eastAsia="Cambria"/>
          <w:sz w:val="24"/>
          <w:szCs w:val="24"/>
        </w:rPr>
      </w:pPr>
      <w:r>
        <w:rPr>
          <w:sz w:val="24"/>
          <w:szCs w:val="24"/>
        </w:rPr>
        <w:t>On the other hand, t</w:t>
      </w:r>
      <w:r w:rsidR="000825C8">
        <w:rPr>
          <w:sz w:val="24"/>
          <w:szCs w:val="24"/>
        </w:rPr>
        <w:t xml:space="preserve">he top </w:t>
      </w:r>
      <w:r>
        <w:rPr>
          <w:sz w:val="24"/>
          <w:szCs w:val="24"/>
        </w:rPr>
        <w:t>1-10%</w:t>
      </w:r>
      <w:r w:rsidR="000825C8">
        <w:rPr>
          <w:sz w:val="24"/>
          <w:szCs w:val="24"/>
        </w:rPr>
        <w:t>’s income share</w:t>
      </w:r>
      <w:r>
        <w:rPr>
          <w:sz w:val="24"/>
          <w:szCs w:val="24"/>
        </w:rPr>
        <w:t xml:space="preserve"> </w:t>
      </w:r>
      <w:r w:rsidR="000825C8">
        <w:rPr>
          <w:sz w:val="24"/>
          <w:szCs w:val="24"/>
        </w:rPr>
        <w:t>is slowly declining</w:t>
      </w:r>
      <w:r>
        <w:rPr>
          <w:sz w:val="24"/>
          <w:szCs w:val="24"/>
        </w:rPr>
        <w:t xml:space="preserve"> f</w:t>
      </w:r>
      <w:r w:rsidR="000825C8">
        <w:rPr>
          <w:sz w:val="24"/>
          <w:szCs w:val="24"/>
        </w:rPr>
        <w:t>rom 1984 to 2011</w:t>
      </w:r>
      <w:r>
        <w:rPr>
          <w:sz w:val="24"/>
          <w:szCs w:val="24"/>
        </w:rPr>
        <w:t>. In 2011,</w:t>
      </w:r>
      <w:r w:rsidR="000825C8">
        <w:rPr>
          <w:sz w:val="24"/>
          <w:szCs w:val="24"/>
        </w:rPr>
        <w:t xml:space="preserve"> the share owned by them </w:t>
      </w:r>
      <w:r>
        <w:rPr>
          <w:sz w:val="24"/>
          <w:szCs w:val="24"/>
        </w:rPr>
        <w:t xml:space="preserve">has </w:t>
      </w:r>
      <w:r w:rsidR="000825C8">
        <w:rPr>
          <w:sz w:val="24"/>
          <w:szCs w:val="24"/>
        </w:rPr>
        <w:t xml:space="preserve">reached a new low of 47.8% less than their fair share. </w:t>
      </w:r>
      <w:r w:rsidR="00E16F28">
        <w:rPr>
          <w:sz w:val="24"/>
          <w:szCs w:val="24"/>
        </w:rPr>
        <w:t xml:space="preserve">It is interesting to note that the </w:t>
      </w:r>
      <w:r w:rsidR="00E16F28" w:rsidRPr="009662DA">
        <w:rPr>
          <w:color w:val="222222"/>
          <w:sz w:val="24"/>
          <w:szCs w:val="24"/>
          <w:highlight w:val="white"/>
        </w:rPr>
        <w:t>Ψ</w:t>
      </w:r>
      <w:r w:rsidR="00E16F28" w:rsidRPr="009662DA">
        <w:rPr>
          <w:rFonts w:eastAsia="Cambria"/>
          <w:sz w:val="24"/>
          <w:szCs w:val="24"/>
        </w:rPr>
        <w:t xml:space="preserve"> value</w:t>
      </w:r>
      <w:r w:rsidR="00E16F28">
        <w:rPr>
          <w:rFonts w:eastAsia="Cambria"/>
          <w:sz w:val="24"/>
          <w:szCs w:val="24"/>
        </w:rPr>
        <w:t xml:space="preserve"> of the bottom 90% seems to be consistently above the ideal inequality line. This is a rather unusual trend as, more often than not, the bottom 90% is always receiving less than their ideal share especially in recent years. However, for the case of Malaysia, its bottom 90% is in fact owning more than their fair share.</w:t>
      </w:r>
    </w:p>
    <w:p w:rsidR="00E16F28" w:rsidRDefault="00E16F28">
      <w:pPr>
        <w:spacing w:line="360" w:lineRule="auto"/>
        <w:jc w:val="both"/>
        <w:rPr>
          <w:sz w:val="24"/>
          <w:szCs w:val="24"/>
        </w:rPr>
      </w:pPr>
    </w:p>
    <w:p w:rsidR="007A5D2F" w:rsidRDefault="000825C8">
      <w:pPr>
        <w:jc w:val="both"/>
        <w:rPr>
          <w:sz w:val="28"/>
          <w:szCs w:val="28"/>
        </w:rPr>
      </w:pPr>
      <w:r>
        <w:rPr>
          <w:sz w:val="28"/>
          <w:szCs w:val="28"/>
        </w:rPr>
        <w:t>3.1 Norway</w:t>
      </w:r>
    </w:p>
    <w:p w:rsidR="007A5D2F" w:rsidRDefault="000825C8">
      <w:pPr>
        <w:jc w:val="both"/>
        <w:rPr>
          <w:b/>
          <w:sz w:val="24"/>
          <w:szCs w:val="24"/>
        </w:rPr>
      </w:pPr>
      <w:r>
        <w:rPr>
          <w:b/>
          <w:sz w:val="24"/>
          <w:szCs w:val="24"/>
        </w:rPr>
        <w:t>Norway (Table Form):</w:t>
      </w:r>
    </w:p>
    <w:p w:rsidR="007A5D2F" w:rsidRDefault="007A5D2F">
      <w:pPr>
        <w:jc w:val="both"/>
        <w:rPr>
          <w:b/>
          <w:sz w:val="24"/>
          <w:szCs w:val="24"/>
        </w:rPr>
      </w:pPr>
    </w:p>
    <w:p w:rsidR="007A5D2F" w:rsidRDefault="00E16F28">
      <w:pPr>
        <w:spacing w:line="360" w:lineRule="auto"/>
        <w:jc w:val="both"/>
        <w:rPr>
          <w:sz w:val="24"/>
          <w:szCs w:val="24"/>
        </w:rPr>
      </w:pPr>
      <w:r>
        <w:rPr>
          <w:sz w:val="24"/>
          <w:szCs w:val="24"/>
        </w:rPr>
        <w:t xml:space="preserve">For </w:t>
      </w:r>
      <w:r w:rsidR="000825C8">
        <w:rPr>
          <w:sz w:val="24"/>
          <w:szCs w:val="24"/>
        </w:rPr>
        <w:t xml:space="preserve">the case of Norway, when minimum wage is mentioned, it varies from economic sector to sector, by taking into consideration all the minimum wages for each sector, the lowest minimum wage is then taken. </w:t>
      </w:r>
      <w:r>
        <w:rPr>
          <w:sz w:val="24"/>
          <w:szCs w:val="24"/>
        </w:rPr>
        <w:t>Only t</w:t>
      </w:r>
      <w:r w:rsidR="000825C8">
        <w:rPr>
          <w:sz w:val="24"/>
          <w:szCs w:val="24"/>
        </w:rPr>
        <w:t xml:space="preserve">he wage of skilled workers is considered. It is discovered that the sector of agriculture and horticulture has the lowest minimum wage </w:t>
      </w:r>
      <w:r w:rsidR="000825C8">
        <w:rPr>
          <w:sz w:val="24"/>
          <w:szCs w:val="24"/>
        </w:rPr>
        <w:lastRenderedPageBreak/>
        <w:t xml:space="preserve">of ~NOK154.80/hour. Assuming a </w:t>
      </w:r>
      <w:proofErr w:type="gramStart"/>
      <w:r w:rsidR="000825C8">
        <w:rPr>
          <w:sz w:val="24"/>
          <w:szCs w:val="24"/>
        </w:rPr>
        <w:t>38 hour</w:t>
      </w:r>
      <w:proofErr w:type="gramEnd"/>
      <w:r w:rsidR="000825C8">
        <w:rPr>
          <w:sz w:val="24"/>
          <w:szCs w:val="24"/>
        </w:rPr>
        <w:t xml:space="preserve"> work week according to </w:t>
      </w:r>
      <w:proofErr w:type="spellStart"/>
      <w:r>
        <w:rPr>
          <w:sz w:val="24"/>
          <w:szCs w:val="24"/>
        </w:rPr>
        <w:t>E</w:t>
      </w:r>
      <w:r w:rsidR="000825C8">
        <w:rPr>
          <w:sz w:val="24"/>
          <w:szCs w:val="24"/>
        </w:rPr>
        <w:t>urofound</w:t>
      </w:r>
      <w:proofErr w:type="spellEnd"/>
      <w:r>
        <w:rPr>
          <w:sz w:val="24"/>
          <w:szCs w:val="24"/>
        </w:rPr>
        <w:t xml:space="preserve"> and t</w:t>
      </w:r>
      <w:r w:rsidR="000825C8">
        <w:rPr>
          <w:sz w:val="24"/>
          <w:szCs w:val="24"/>
        </w:rPr>
        <w:t>aking into consideration the 3% inflation each year from 2011 to 2016. (Note: 3% inflation rate is added to the maximum wage from the year before)</w:t>
      </w:r>
    </w:p>
    <w:p w:rsidR="007A5D2F" w:rsidRDefault="007A5D2F">
      <w:pPr>
        <w:jc w:val="both"/>
        <w:rPr>
          <w:b/>
          <w:sz w:val="24"/>
          <w:szCs w:val="24"/>
        </w:rPr>
      </w:pPr>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0"/>
        <w:gridCol w:w="5970"/>
      </w:tblGrid>
      <w:tr w:rsidR="007A5D2F">
        <w:trPr>
          <w:trHeight w:val="780"/>
        </w:trPr>
        <w:tc>
          <w:tcPr>
            <w:tcW w:w="411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DATA GROUP</w:t>
            </w:r>
          </w:p>
        </w:tc>
        <w:tc>
          <w:tcPr>
            <w:tcW w:w="5970" w:type="dxa"/>
            <w:shd w:val="clear" w:color="auto" w:fill="auto"/>
            <w:tcMar>
              <w:top w:w="100" w:type="dxa"/>
              <w:left w:w="100" w:type="dxa"/>
              <w:bottom w:w="100" w:type="dxa"/>
              <w:right w:w="100" w:type="dxa"/>
            </w:tcMar>
          </w:tcPr>
          <w:p w:rsidR="007A5D2F" w:rsidRDefault="00031731">
            <w:pPr>
              <w:widowControl w:val="0"/>
              <w:spacing w:line="240" w:lineRule="auto"/>
              <w:jc w:val="both"/>
              <w:rPr>
                <w:b/>
                <w:sz w:val="24"/>
                <w:szCs w:val="24"/>
              </w:rPr>
            </w:pPr>
            <w:r>
              <w:rPr>
                <w:b/>
                <w:sz w:val="24"/>
                <w:szCs w:val="24"/>
              </w:rPr>
              <w:t>Income</w:t>
            </w:r>
          </w:p>
        </w:tc>
      </w:tr>
      <w:tr w:rsidR="007A5D2F">
        <w:trPr>
          <w:trHeight w:val="780"/>
        </w:trPr>
        <w:tc>
          <w:tcPr>
            <w:tcW w:w="411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Minimum Wage</w:t>
            </w:r>
          </w:p>
          <w:p w:rsidR="007A5D2F" w:rsidRDefault="000825C8">
            <w:pPr>
              <w:widowControl w:val="0"/>
              <w:spacing w:line="240" w:lineRule="auto"/>
              <w:jc w:val="both"/>
              <w:rPr>
                <w:b/>
                <w:sz w:val="24"/>
                <w:szCs w:val="24"/>
              </w:rPr>
            </w:pPr>
            <w:r>
              <w:rPr>
                <w:b/>
                <w:sz w:val="24"/>
                <w:szCs w:val="24"/>
              </w:rPr>
              <w:t>Average Wage</w:t>
            </w:r>
          </w:p>
          <w:p w:rsidR="007A5D2F" w:rsidRDefault="000825C8">
            <w:pPr>
              <w:widowControl w:val="0"/>
              <w:spacing w:line="240" w:lineRule="auto"/>
              <w:jc w:val="both"/>
              <w:rPr>
                <w:b/>
                <w:sz w:val="24"/>
                <w:szCs w:val="24"/>
              </w:rPr>
            </w:pPr>
            <w:r>
              <w:rPr>
                <w:b/>
                <w:sz w:val="24"/>
                <w:szCs w:val="24"/>
              </w:rPr>
              <w:t>Maximum Wage</w:t>
            </w:r>
          </w:p>
        </w:tc>
        <w:tc>
          <w:tcPr>
            <w:tcW w:w="5970" w:type="dxa"/>
            <w:shd w:val="clear" w:color="auto" w:fill="auto"/>
            <w:tcMar>
              <w:top w:w="100" w:type="dxa"/>
              <w:left w:w="100" w:type="dxa"/>
              <w:bottom w:w="100" w:type="dxa"/>
              <w:right w:w="100" w:type="dxa"/>
            </w:tcMar>
          </w:tcPr>
          <w:p w:rsidR="007A5D2F" w:rsidRDefault="000825C8">
            <w:pPr>
              <w:widowControl w:val="0"/>
              <w:spacing w:line="240" w:lineRule="auto"/>
              <w:jc w:val="both"/>
              <w:rPr>
                <w:sz w:val="24"/>
                <w:szCs w:val="24"/>
              </w:rPr>
            </w:pPr>
            <w:r>
              <w:rPr>
                <w:sz w:val="24"/>
                <w:szCs w:val="24"/>
              </w:rPr>
              <w:t>~NOK165,933.85/year (~SGD</w:t>
            </w:r>
            <w:r>
              <w:rPr>
                <w:color w:val="212121"/>
                <w:sz w:val="24"/>
                <w:szCs w:val="24"/>
                <w:highlight w:val="white"/>
              </w:rPr>
              <w:t>26,333.28</w:t>
            </w:r>
            <w:r>
              <w:rPr>
                <w:sz w:val="24"/>
                <w:szCs w:val="24"/>
              </w:rPr>
              <w:t>)</w:t>
            </w:r>
          </w:p>
          <w:p w:rsidR="007A5D2F" w:rsidRDefault="000825C8">
            <w:pPr>
              <w:widowControl w:val="0"/>
              <w:spacing w:line="240" w:lineRule="auto"/>
              <w:jc w:val="both"/>
              <w:rPr>
                <w:sz w:val="24"/>
                <w:szCs w:val="24"/>
              </w:rPr>
            </w:pPr>
            <w:r>
              <w:rPr>
                <w:sz w:val="24"/>
                <w:szCs w:val="24"/>
              </w:rPr>
              <w:t>~NOK709,439/year (~SGD111,577.02)</w:t>
            </w:r>
          </w:p>
          <w:p w:rsidR="007A5D2F" w:rsidRDefault="000825C8">
            <w:pPr>
              <w:widowControl w:val="0"/>
              <w:spacing w:line="240" w:lineRule="auto"/>
              <w:jc w:val="both"/>
              <w:rPr>
                <w:sz w:val="24"/>
                <w:szCs w:val="24"/>
              </w:rPr>
            </w:pPr>
            <w:r>
              <w:rPr>
                <w:sz w:val="24"/>
                <w:szCs w:val="24"/>
              </w:rPr>
              <w:t>~NOK4,491,855.485/year (~SGD</w:t>
            </w:r>
            <w:r>
              <w:rPr>
                <w:color w:val="212121"/>
                <w:sz w:val="24"/>
                <w:szCs w:val="24"/>
                <w:highlight w:val="white"/>
              </w:rPr>
              <w:t>712,845.99)</w:t>
            </w:r>
          </w:p>
        </w:tc>
      </w:tr>
    </w:tbl>
    <w:p w:rsidR="007A5D2F" w:rsidRDefault="007A5D2F">
      <w:pPr>
        <w:jc w:val="both"/>
        <w:rPr>
          <w:sz w:val="28"/>
          <w:szCs w:val="28"/>
        </w:rPr>
      </w:pPr>
    </w:p>
    <w:p w:rsidR="007A5D2F" w:rsidRDefault="000825C8">
      <w:pPr>
        <w:keepNext/>
        <w:spacing w:line="360" w:lineRule="auto"/>
        <w:jc w:val="both"/>
        <w:rPr>
          <w:sz w:val="24"/>
          <w:szCs w:val="24"/>
        </w:rPr>
      </w:pPr>
      <w:r>
        <w:rPr>
          <w:sz w:val="24"/>
          <w:szCs w:val="24"/>
        </w:rPr>
        <w:t>The average income obtained from the WID for Norway with regards to pre-tax and post-tax are similar</w:t>
      </w:r>
      <w:r w:rsidR="00E16F28">
        <w:rPr>
          <w:sz w:val="24"/>
          <w:szCs w:val="24"/>
        </w:rPr>
        <w:t xml:space="preserve">. As such, </w:t>
      </w:r>
      <w:r>
        <w:rPr>
          <w:sz w:val="24"/>
          <w:szCs w:val="24"/>
        </w:rPr>
        <w:t xml:space="preserve">it is assumed that the income taxation does not affect the </w:t>
      </w:r>
      <w:r w:rsidR="00E16F28">
        <w:rPr>
          <w:sz w:val="24"/>
          <w:szCs w:val="24"/>
        </w:rPr>
        <w:t>average income.</w:t>
      </w:r>
    </w:p>
    <w:p w:rsidR="00E16F28" w:rsidRDefault="00E16F28" w:rsidP="00E16F28"/>
    <w:p w:rsidR="007A5D2F" w:rsidRPr="00E16F28" w:rsidRDefault="000825C8" w:rsidP="00E16F28">
      <w:r>
        <w:rPr>
          <w:sz w:val="28"/>
          <w:szCs w:val="28"/>
        </w:rPr>
        <w:t>3.1.1 Income distribution over the years</w:t>
      </w:r>
    </w:p>
    <w:p w:rsidR="007A5D2F" w:rsidRDefault="000825C8">
      <w:pPr>
        <w:jc w:val="both"/>
        <w:rPr>
          <w:sz w:val="28"/>
          <w:szCs w:val="28"/>
          <w:u w:val="single"/>
        </w:rPr>
      </w:pPr>
      <w:r>
        <w:rPr>
          <w:sz w:val="28"/>
          <w:szCs w:val="28"/>
          <w:u w:val="single"/>
        </w:rPr>
        <w:t>Pre-Tax</w:t>
      </w:r>
    </w:p>
    <w:p w:rsidR="007A5D2F" w:rsidRDefault="000825C8" w:rsidP="00E16F28">
      <w:pPr>
        <w:jc w:val="center"/>
        <w:rPr>
          <w:sz w:val="28"/>
          <w:szCs w:val="28"/>
          <w:u w:val="single"/>
        </w:rPr>
      </w:pPr>
      <w:r>
        <w:rPr>
          <w:noProof/>
        </w:rPr>
        <w:drawing>
          <wp:inline distT="0" distB="0" distL="0" distR="0">
            <wp:extent cx="5633049" cy="30451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633049" cy="3045125"/>
                    </a:xfrm>
                    <a:prstGeom prst="rect">
                      <a:avLst/>
                    </a:prstGeom>
                    <a:ln/>
                  </pic:spPr>
                </pic:pic>
              </a:graphicData>
            </a:graphic>
          </wp:inline>
        </w:drawing>
      </w:r>
    </w:p>
    <w:p w:rsidR="00E16F28" w:rsidRDefault="00E16F28" w:rsidP="00E16F28">
      <w:pPr>
        <w:jc w:val="both"/>
        <w:rPr>
          <w:sz w:val="28"/>
          <w:szCs w:val="28"/>
          <w:u w:val="single"/>
        </w:rPr>
      </w:pPr>
    </w:p>
    <w:p w:rsidR="007A5D2F" w:rsidRDefault="000825C8">
      <w:pPr>
        <w:rPr>
          <w:b/>
          <w:sz w:val="24"/>
          <w:szCs w:val="24"/>
          <w:u w:val="single"/>
        </w:rPr>
      </w:pPr>
      <w:r>
        <w:rPr>
          <w:b/>
          <w:sz w:val="24"/>
          <w:szCs w:val="24"/>
          <w:u w:val="single"/>
        </w:rPr>
        <w:t>ANALYSIS</w:t>
      </w:r>
    </w:p>
    <w:p w:rsidR="007A5D2F" w:rsidRDefault="007A5D2F">
      <w:pPr>
        <w:rPr>
          <w:sz w:val="24"/>
          <w:szCs w:val="24"/>
        </w:rPr>
      </w:pPr>
    </w:p>
    <w:p w:rsidR="007A5D2F" w:rsidRDefault="000825C8">
      <w:pPr>
        <w:spacing w:line="360" w:lineRule="auto"/>
        <w:jc w:val="both"/>
        <w:rPr>
          <w:sz w:val="24"/>
          <w:szCs w:val="24"/>
        </w:rPr>
      </w:pPr>
      <w:r>
        <w:rPr>
          <w:sz w:val="24"/>
          <w:szCs w:val="24"/>
        </w:rPr>
        <w:t xml:space="preserve">At first glance of the income distribution in Norway with regards to the pre-tax data, it is observed that Norway is </w:t>
      </w:r>
      <w:r w:rsidR="00E16F28">
        <w:rPr>
          <w:sz w:val="24"/>
          <w:szCs w:val="24"/>
        </w:rPr>
        <w:t xml:space="preserve">the </w:t>
      </w:r>
      <w:r>
        <w:rPr>
          <w:sz w:val="24"/>
          <w:szCs w:val="24"/>
        </w:rPr>
        <w:t xml:space="preserve">closest to reaching </w:t>
      </w:r>
      <w:r w:rsidR="00E16F28">
        <w:rPr>
          <w:sz w:val="24"/>
          <w:szCs w:val="24"/>
        </w:rPr>
        <w:t>a</w:t>
      </w:r>
      <w:r>
        <w:rPr>
          <w:sz w:val="24"/>
          <w:szCs w:val="24"/>
        </w:rPr>
        <w:t xml:space="preserve"> </w:t>
      </w:r>
      <w:r w:rsidR="00E16F28">
        <w:rPr>
          <w:sz w:val="24"/>
          <w:szCs w:val="24"/>
        </w:rPr>
        <w:t>u</w:t>
      </w:r>
      <w:r>
        <w:rPr>
          <w:sz w:val="24"/>
          <w:szCs w:val="24"/>
        </w:rPr>
        <w:t>topia</w:t>
      </w:r>
      <w:r w:rsidR="00E16F28">
        <w:rPr>
          <w:sz w:val="24"/>
          <w:szCs w:val="24"/>
        </w:rPr>
        <w:t>n</w:t>
      </w:r>
      <w:r>
        <w:rPr>
          <w:sz w:val="24"/>
          <w:szCs w:val="24"/>
        </w:rPr>
        <w:t xml:space="preserve"> state </w:t>
      </w:r>
      <w:r w:rsidR="00E16F28">
        <w:rPr>
          <w:sz w:val="24"/>
          <w:szCs w:val="24"/>
        </w:rPr>
        <w:t>as</w:t>
      </w:r>
      <w:r>
        <w:rPr>
          <w:sz w:val="24"/>
          <w:szCs w:val="24"/>
        </w:rPr>
        <w:t xml:space="preserve"> </w:t>
      </w:r>
      <w:r w:rsidR="00E16F28">
        <w:rPr>
          <w:sz w:val="24"/>
          <w:szCs w:val="24"/>
        </w:rPr>
        <w:t xml:space="preserve">majority of its </w:t>
      </w:r>
      <w:r w:rsidR="00E16F28">
        <w:rPr>
          <w:sz w:val="24"/>
          <w:szCs w:val="24"/>
        </w:rPr>
        <w:lastRenderedPageBreak/>
        <w:t xml:space="preserve">population (99%) is extremely close to </w:t>
      </w:r>
      <w:r>
        <w:rPr>
          <w:sz w:val="24"/>
          <w:szCs w:val="24"/>
        </w:rPr>
        <w:t xml:space="preserve">the ideal inequality line of 0%. Despite a couple of wavering years while the income share fell below the ideal line, in general, the bottom 90% and the </w:t>
      </w:r>
      <w:r w:rsidR="00031731">
        <w:rPr>
          <w:sz w:val="24"/>
          <w:szCs w:val="24"/>
        </w:rPr>
        <w:t>top 1-10%</w:t>
      </w:r>
      <w:r>
        <w:rPr>
          <w:sz w:val="24"/>
          <w:szCs w:val="24"/>
        </w:rPr>
        <w:t xml:space="preserve"> hovers around the ideal line. From 2007 onwards, the bottom 90% and </w:t>
      </w:r>
      <w:r w:rsidR="00031731">
        <w:rPr>
          <w:sz w:val="24"/>
          <w:szCs w:val="24"/>
        </w:rPr>
        <w:t xml:space="preserve">the top 1-10% </w:t>
      </w:r>
      <w:r>
        <w:rPr>
          <w:sz w:val="24"/>
          <w:szCs w:val="24"/>
        </w:rPr>
        <w:t>are more or less on the ideal line with only a small difference between their actual income share and the ideal income share of ~</w:t>
      </w:r>
      <w:r w:rsidR="00031731">
        <w:rPr>
          <w:sz w:val="24"/>
          <w:szCs w:val="24"/>
        </w:rPr>
        <w:t>+-</w:t>
      </w:r>
      <w:r>
        <w:rPr>
          <w:sz w:val="24"/>
          <w:szCs w:val="24"/>
        </w:rPr>
        <w:t xml:space="preserve">4%. </w:t>
      </w:r>
    </w:p>
    <w:p w:rsidR="00031731" w:rsidRDefault="00031731">
      <w:pPr>
        <w:spacing w:line="360" w:lineRule="auto"/>
        <w:jc w:val="both"/>
        <w:rPr>
          <w:sz w:val="24"/>
          <w:szCs w:val="24"/>
        </w:rPr>
      </w:pPr>
    </w:p>
    <w:p w:rsidR="007A5D2F" w:rsidRDefault="000825C8">
      <w:pPr>
        <w:spacing w:line="360" w:lineRule="auto"/>
        <w:jc w:val="both"/>
      </w:pPr>
      <w:r>
        <w:rPr>
          <w:sz w:val="24"/>
          <w:szCs w:val="24"/>
        </w:rPr>
        <w:t xml:space="preserve">The top 1% however are still receiving a whole lot more than their fair share. In the year 2005, the top 1% reached a new high of 272.591% more than the ideal share. This is an unusual spike in income share compared to the rather </w:t>
      </w:r>
      <w:r w:rsidR="00031731">
        <w:rPr>
          <w:sz w:val="24"/>
          <w:szCs w:val="24"/>
        </w:rPr>
        <w:t>consistent</w:t>
      </w:r>
      <w:r>
        <w:rPr>
          <w:sz w:val="24"/>
          <w:szCs w:val="24"/>
        </w:rPr>
        <w:t xml:space="preserve"> values. On further research of events that occurred in 2005, it is noted that the Parliamentary election occurred in 2005</w:t>
      </w:r>
      <w:r w:rsidR="00031731">
        <w:rPr>
          <w:sz w:val="24"/>
          <w:szCs w:val="24"/>
        </w:rPr>
        <w:t xml:space="preserve"> which </w:t>
      </w:r>
      <w:r>
        <w:rPr>
          <w:sz w:val="24"/>
          <w:szCs w:val="24"/>
        </w:rPr>
        <w:t>could have led to conditions that improved the economy for the top 1% in Norway. Another important date to note is in 1988 where</w:t>
      </w:r>
      <w:r w:rsidR="00031731">
        <w:rPr>
          <w:sz w:val="24"/>
          <w:szCs w:val="24"/>
        </w:rPr>
        <w:t xml:space="preserve">, </w:t>
      </w:r>
      <w:r>
        <w:rPr>
          <w:sz w:val="24"/>
          <w:szCs w:val="24"/>
        </w:rPr>
        <w:t xml:space="preserve">on visual observation, the entire population’s income share is the closest to the ideal inequality line. The top 1% only owned 8.683% more, the bottom 90% </w:t>
      </w:r>
      <w:r w:rsidR="00031731">
        <w:rPr>
          <w:sz w:val="24"/>
          <w:szCs w:val="24"/>
        </w:rPr>
        <w:t>owned</w:t>
      </w:r>
      <w:r>
        <w:rPr>
          <w:sz w:val="24"/>
          <w:szCs w:val="24"/>
        </w:rPr>
        <w:t xml:space="preserve"> 3.235% more and the </w:t>
      </w:r>
      <w:r w:rsidR="00031731">
        <w:rPr>
          <w:sz w:val="24"/>
          <w:szCs w:val="24"/>
        </w:rPr>
        <w:t>top 1-10%</w:t>
      </w:r>
      <w:r>
        <w:rPr>
          <w:sz w:val="24"/>
          <w:szCs w:val="24"/>
        </w:rPr>
        <w:t xml:space="preserve"> owned 14.47% less than the ideal share.</w:t>
      </w:r>
    </w:p>
    <w:p w:rsidR="00031731" w:rsidRDefault="00031731">
      <w:pPr>
        <w:spacing w:line="360" w:lineRule="auto"/>
        <w:jc w:val="both"/>
        <w:rPr>
          <w:sz w:val="28"/>
          <w:szCs w:val="28"/>
          <w:u w:val="single"/>
        </w:rPr>
      </w:pPr>
    </w:p>
    <w:p w:rsidR="007A5D2F" w:rsidRDefault="000825C8">
      <w:pPr>
        <w:jc w:val="both"/>
        <w:rPr>
          <w:sz w:val="28"/>
          <w:szCs w:val="28"/>
          <w:u w:val="single"/>
        </w:rPr>
      </w:pPr>
      <w:r>
        <w:rPr>
          <w:sz w:val="28"/>
          <w:szCs w:val="28"/>
          <w:u w:val="single"/>
        </w:rPr>
        <w:t>Post-Tax</w:t>
      </w:r>
    </w:p>
    <w:p w:rsidR="007A5D2F" w:rsidRDefault="000825C8" w:rsidP="00031731">
      <w:pPr>
        <w:jc w:val="center"/>
        <w:rPr>
          <w:sz w:val="24"/>
          <w:szCs w:val="24"/>
        </w:rPr>
      </w:pPr>
      <w:r>
        <w:rPr>
          <w:noProof/>
        </w:rPr>
        <w:drawing>
          <wp:inline distT="0" distB="0" distL="0" distR="0">
            <wp:extent cx="5853793" cy="3404507"/>
            <wp:effectExtent l="0" t="0" r="127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859485" cy="3407817"/>
                    </a:xfrm>
                    <a:prstGeom prst="rect">
                      <a:avLst/>
                    </a:prstGeom>
                    <a:ln/>
                  </pic:spPr>
                </pic:pic>
              </a:graphicData>
            </a:graphic>
          </wp:inline>
        </w:drawing>
      </w:r>
    </w:p>
    <w:p w:rsidR="00031731" w:rsidRDefault="00031731" w:rsidP="00031731">
      <w:pPr>
        <w:jc w:val="both"/>
        <w:rPr>
          <w:sz w:val="24"/>
          <w:szCs w:val="24"/>
        </w:rPr>
      </w:pPr>
    </w:p>
    <w:p w:rsidR="007A5D2F" w:rsidRDefault="000825C8">
      <w:pPr>
        <w:rPr>
          <w:sz w:val="24"/>
          <w:szCs w:val="24"/>
        </w:rPr>
      </w:pPr>
      <w:r>
        <w:rPr>
          <w:b/>
          <w:sz w:val="24"/>
          <w:szCs w:val="24"/>
          <w:u w:val="single"/>
        </w:rPr>
        <w:lastRenderedPageBreak/>
        <w:t>ANALYSIS</w:t>
      </w:r>
    </w:p>
    <w:p w:rsidR="003D032E" w:rsidRDefault="000825C8">
      <w:pPr>
        <w:spacing w:line="360" w:lineRule="auto"/>
        <w:jc w:val="both"/>
        <w:rPr>
          <w:sz w:val="24"/>
          <w:szCs w:val="24"/>
        </w:rPr>
      </w:pPr>
      <w:r>
        <w:rPr>
          <w:sz w:val="24"/>
          <w:szCs w:val="24"/>
        </w:rPr>
        <w:t xml:space="preserve">The overall shape of the graph for Post-Tax data in Norway is pretty much similar to the Pre-Tax data, this means that the taxation rate does not have </w:t>
      </w:r>
      <w:r w:rsidR="00031731">
        <w:rPr>
          <w:sz w:val="24"/>
          <w:szCs w:val="24"/>
        </w:rPr>
        <w:t xml:space="preserve">a drastic </w:t>
      </w:r>
      <w:r>
        <w:rPr>
          <w:sz w:val="24"/>
          <w:szCs w:val="24"/>
        </w:rPr>
        <w:t>effect on the</w:t>
      </w:r>
      <w:r w:rsidR="00031731">
        <w:rPr>
          <w:sz w:val="24"/>
          <w:szCs w:val="24"/>
        </w:rPr>
        <w:t xml:space="preserve"> population income distribution</w:t>
      </w:r>
      <w:r>
        <w:rPr>
          <w:sz w:val="24"/>
          <w:szCs w:val="24"/>
        </w:rPr>
        <w:t xml:space="preserve">. </w:t>
      </w:r>
      <w:r w:rsidR="00031731">
        <w:rPr>
          <w:sz w:val="24"/>
          <w:szCs w:val="24"/>
        </w:rPr>
        <w:t>Further examination on the graph reveals that</w:t>
      </w:r>
      <w:r>
        <w:rPr>
          <w:sz w:val="24"/>
          <w:szCs w:val="24"/>
        </w:rPr>
        <w:t xml:space="preserve"> the </w:t>
      </w:r>
      <w:r w:rsidR="00031731">
        <w:rPr>
          <w:sz w:val="24"/>
          <w:szCs w:val="24"/>
        </w:rPr>
        <w:t>top 1-10%</w:t>
      </w:r>
      <w:r>
        <w:rPr>
          <w:sz w:val="24"/>
          <w:szCs w:val="24"/>
        </w:rPr>
        <w:t xml:space="preserve"> is receiving</w:t>
      </w:r>
      <w:r w:rsidR="00031731">
        <w:rPr>
          <w:sz w:val="24"/>
          <w:szCs w:val="24"/>
        </w:rPr>
        <w:t xml:space="preserve"> less</w:t>
      </w:r>
      <w:r>
        <w:rPr>
          <w:sz w:val="24"/>
          <w:szCs w:val="24"/>
        </w:rPr>
        <w:t xml:space="preserve"> than their fair share</w:t>
      </w:r>
      <w:r w:rsidR="00031731">
        <w:rPr>
          <w:sz w:val="24"/>
          <w:szCs w:val="24"/>
        </w:rPr>
        <w:t xml:space="preserve"> in post-tax as compared to pre-tax</w:t>
      </w:r>
      <w:r>
        <w:rPr>
          <w:sz w:val="24"/>
          <w:szCs w:val="24"/>
        </w:rPr>
        <w:t>. The red graph representing that income group is relatively lower than the ideal inequality line of 0% in post-tax compared to pre-tax. Similarly, by comparing the data and trend of the post-tax and pre-tax income share owned, it can be observed that the bottom 99% owns a lower percentage of the income pie after taxation as compare to the top 1%. For instance, in 2003, the pre</w:t>
      </w:r>
      <w:r w:rsidR="00031731">
        <w:rPr>
          <w:sz w:val="24"/>
          <w:szCs w:val="24"/>
        </w:rPr>
        <w:t>-</w:t>
      </w:r>
      <w:r>
        <w:rPr>
          <w:sz w:val="24"/>
          <w:szCs w:val="24"/>
        </w:rPr>
        <w:t xml:space="preserve">tax data shows that the top 1% owned 150% more than the fair share. The post-tax data however suggests that the top 1% owned 183.74% more than the fair share after taxation is included. This example </w:t>
      </w:r>
      <w:r w:rsidR="003D032E">
        <w:rPr>
          <w:sz w:val="24"/>
          <w:szCs w:val="24"/>
        </w:rPr>
        <w:t>suggests</w:t>
      </w:r>
      <w:r>
        <w:rPr>
          <w:sz w:val="24"/>
          <w:szCs w:val="24"/>
        </w:rPr>
        <w:t xml:space="preserve"> that the </w:t>
      </w:r>
      <w:r w:rsidR="003D032E">
        <w:rPr>
          <w:sz w:val="24"/>
          <w:szCs w:val="24"/>
        </w:rPr>
        <w:t xml:space="preserve">amount of taxation on the </w:t>
      </w:r>
      <w:r>
        <w:rPr>
          <w:sz w:val="24"/>
          <w:szCs w:val="24"/>
        </w:rPr>
        <w:t xml:space="preserve">top 1% </w:t>
      </w:r>
      <w:r w:rsidR="003D032E">
        <w:rPr>
          <w:sz w:val="24"/>
          <w:szCs w:val="24"/>
        </w:rPr>
        <w:t>may be insufficient to offset/balance out the large proportion of share owned by them. As such, the top 1% is still receiving more than their ideal fair share even after taxation.</w:t>
      </w:r>
    </w:p>
    <w:p w:rsidR="003D032E" w:rsidRDefault="003D032E">
      <w:pPr>
        <w:spacing w:line="360" w:lineRule="auto"/>
        <w:jc w:val="both"/>
        <w:rPr>
          <w:sz w:val="24"/>
          <w:szCs w:val="24"/>
        </w:rPr>
      </w:pPr>
    </w:p>
    <w:p w:rsidR="00031731" w:rsidRDefault="000825C8" w:rsidP="00031731">
      <w:pPr>
        <w:spacing w:line="360" w:lineRule="auto"/>
        <w:jc w:val="both"/>
        <w:rPr>
          <w:sz w:val="24"/>
          <w:szCs w:val="24"/>
        </w:rPr>
      </w:pPr>
      <w:r>
        <w:rPr>
          <w:sz w:val="24"/>
          <w:szCs w:val="24"/>
        </w:rPr>
        <w:t xml:space="preserve">The data however could be incomplete and inaccurate, this is because as mentioned previously, the post-tax data (Maximum, Minimum and Average Income) found on the internet and the World Inequality Database is similar to the pre-tax data. It </w:t>
      </w:r>
      <w:r w:rsidR="003D032E">
        <w:rPr>
          <w:sz w:val="24"/>
          <w:szCs w:val="24"/>
        </w:rPr>
        <w:t xml:space="preserve">has to be noted </w:t>
      </w:r>
      <w:r>
        <w:rPr>
          <w:sz w:val="24"/>
          <w:szCs w:val="24"/>
        </w:rPr>
        <w:t xml:space="preserve">that the </w:t>
      </w:r>
      <w:r w:rsidR="003D032E">
        <w:rPr>
          <w:sz w:val="24"/>
          <w:szCs w:val="24"/>
        </w:rPr>
        <w:t>top</w:t>
      </w:r>
      <w:r>
        <w:rPr>
          <w:sz w:val="24"/>
          <w:szCs w:val="24"/>
        </w:rPr>
        <w:t xml:space="preserve"> </w:t>
      </w:r>
      <w:r w:rsidR="003D032E">
        <w:rPr>
          <w:sz w:val="24"/>
          <w:szCs w:val="24"/>
        </w:rPr>
        <w:t>1-10%</w:t>
      </w:r>
      <w:r>
        <w:rPr>
          <w:sz w:val="24"/>
          <w:szCs w:val="24"/>
        </w:rPr>
        <w:t xml:space="preserve"> </w:t>
      </w:r>
      <w:r w:rsidR="003D032E">
        <w:rPr>
          <w:sz w:val="24"/>
          <w:szCs w:val="24"/>
        </w:rPr>
        <w:t>is</w:t>
      </w:r>
      <w:r>
        <w:rPr>
          <w:sz w:val="24"/>
          <w:szCs w:val="24"/>
        </w:rPr>
        <w:t xml:space="preserve"> actually not receiving their fair share, in fact, they are receiving less than what they </w:t>
      </w:r>
      <w:r w:rsidR="003D032E">
        <w:rPr>
          <w:sz w:val="24"/>
          <w:szCs w:val="24"/>
        </w:rPr>
        <w:t>are</w:t>
      </w:r>
      <w:r>
        <w:rPr>
          <w:sz w:val="24"/>
          <w:szCs w:val="24"/>
        </w:rPr>
        <w:t xml:space="preserve"> supposed to receive.</w:t>
      </w:r>
    </w:p>
    <w:p w:rsidR="00031731" w:rsidRDefault="00031731" w:rsidP="00031731">
      <w:pPr>
        <w:spacing w:line="360" w:lineRule="auto"/>
        <w:jc w:val="both"/>
      </w:pPr>
    </w:p>
    <w:p w:rsidR="007A5D2F" w:rsidRDefault="000825C8" w:rsidP="00031731">
      <w:pPr>
        <w:spacing w:line="360" w:lineRule="auto"/>
        <w:jc w:val="both"/>
        <w:rPr>
          <w:sz w:val="28"/>
          <w:szCs w:val="28"/>
        </w:rPr>
      </w:pPr>
      <w:r>
        <w:rPr>
          <w:sz w:val="28"/>
          <w:szCs w:val="28"/>
        </w:rPr>
        <w:t>4.1 USA</w:t>
      </w:r>
    </w:p>
    <w:p w:rsidR="007A5D2F" w:rsidRDefault="000825C8">
      <w:pPr>
        <w:jc w:val="both"/>
        <w:rPr>
          <w:b/>
          <w:sz w:val="24"/>
          <w:szCs w:val="24"/>
        </w:rPr>
      </w:pPr>
      <w:r>
        <w:rPr>
          <w:b/>
          <w:sz w:val="24"/>
          <w:szCs w:val="24"/>
        </w:rPr>
        <w:t>USA (Table Form):</w:t>
      </w:r>
    </w:p>
    <w:p w:rsidR="007A5D2F" w:rsidRDefault="007A5D2F">
      <w:pPr>
        <w:jc w:val="both"/>
        <w:rPr>
          <w:b/>
          <w:sz w:val="24"/>
          <w:szCs w:val="24"/>
        </w:rPr>
      </w:pPr>
    </w:p>
    <w:p w:rsidR="007A5D2F" w:rsidRDefault="000825C8">
      <w:pPr>
        <w:jc w:val="both"/>
        <w:rPr>
          <w:sz w:val="24"/>
          <w:szCs w:val="24"/>
        </w:rPr>
      </w:pPr>
      <w:r>
        <w:rPr>
          <w:sz w:val="24"/>
          <w:szCs w:val="24"/>
        </w:rPr>
        <w:t xml:space="preserve">The minimum wage in the USA is USD7.25/hour since 2009. In the US, a </w:t>
      </w:r>
      <w:r w:rsidR="003D032E">
        <w:rPr>
          <w:sz w:val="24"/>
          <w:szCs w:val="24"/>
        </w:rPr>
        <w:t>full-time</w:t>
      </w:r>
      <w:r>
        <w:rPr>
          <w:sz w:val="24"/>
          <w:szCs w:val="24"/>
        </w:rPr>
        <w:t xml:space="preserve"> work week is 2,080 hours per week. Therefore, the annual earnings by an ordinary American citizen would be USD$15,080</w:t>
      </w:r>
    </w:p>
    <w:p w:rsidR="007A5D2F" w:rsidRDefault="007A5D2F">
      <w:pPr>
        <w:jc w:val="both"/>
        <w:rPr>
          <w:sz w:val="24"/>
          <w:szCs w:val="24"/>
        </w:rPr>
      </w:pPr>
    </w:p>
    <w:tbl>
      <w:tblPr>
        <w:tblStyle w:val="a3"/>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950"/>
      </w:tblGrid>
      <w:tr w:rsidR="007A5D2F">
        <w:trPr>
          <w:trHeight w:val="78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DATA GROUP</w:t>
            </w:r>
          </w:p>
        </w:tc>
        <w:tc>
          <w:tcPr>
            <w:tcW w:w="4950" w:type="dxa"/>
            <w:shd w:val="clear" w:color="auto" w:fill="auto"/>
            <w:tcMar>
              <w:top w:w="100" w:type="dxa"/>
              <w:left w:w="100" w:type="dxa"/>
              <w:bottom w:w="100" w:type="dxa"/>
              <w:right w:w="100" w:type="dxa"/>
            </w:tcMar>
          </w:tcPr>
          <w:p w:rsidR="007A5D2F" w:rsidRDefault="003D032E">
            <w:pPr>
              <w:widowControl w:val="0"/>
              <w:spacing w:line="240" w:lineRule="auto"/>
              <w:jc w:val="both"/>
              <w:rPr>
                <w:b/>
                <w:sz w:val="24"/>
                <w:szCs w:val="24"/>
              </w:rPr>
            </w:pPr>
            <w:r>
              <w:rPr>
                <w:b/>
                <w:sz w:val="24"/>
                <w:szCs w:val="24"/>
              </w:rPr>
              <w:t>Income</w:t>
            </w:r>
          </w:p>
        </w:tc>
      </w:tr>
      <w:tr w:rsidR="007A5D2F">
        <w:trPr>
          <w:trHeight w:val="78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lastRenderedPageBreak/>
              <w:t>Minimum Wage</w:t>
            </w:r>
          </w:p>
          <w:p w:rsidR="007A5D2F" w:rsidRDefault="000825C8">
            <w:pPr>
              <w:widowControl w:val="0"/>
              <w:spacing w:line="240" w:lineRule="auto"/>
              <w:jc w:val="both"/>
              <w:rPr>
                <w:b/>
                <w:sz w:val="24"/>
                <w:szCs w:val="24"/>
              </w:rPr>
            </w:pPr>
            <w:r>
              <w:rPr>
                <w:b/>
                <w:sz w:val="24"/>
                <w:szCs w:val="24"/>
              </w:rPr>
              <w:t>Average Wage</w:t>
            </w:r>
          </w:p>
          <w:p w:rsidR="007A5D2F" w:rsidRDefault="000825C8">
            <w:pPr>
              <w:widowControl w:val="0"/>
              <w:spacing w:line="240" w:lineRule="auto"/>
              <w:jc w:val="both"/>
              <w:rPr>
                <w:b/>
                <w:sz w:val="24"/>
                <w:szCs w:val="24"/>
              </w:rPr>
            </w:pPr>
            <w:r>
              <w:rPr>
                <w:b/>
                <w:sz w:val="24"/>
                <w:szCs w:val="24"/>
              </w:rPr>
              <w:t>Maximum Wage</w:t>
            </w:r>
          </w:p>
        </w:tc>
        <w:tc>
          <w:tcPr>
            <w:tcW w:w="4950" w:type="dxa"/>
            <w:shd w:val="clear" w:color="auto" w:fill="auto"/>
            <w:tcMar>
              <w:top w:w="100" w:type="dxa"/>
              <w:left w:w="100" w:type="dxa"/>
              <w:bottom w:w="100" w:type="dxa"/>
              <w:right w:w="100" w:type="dxa"/>
            </w:tcMar>
          </w:tcPr>
          <w:p w:rsidR="007A5D2F" w:rsidRDefault="000825C8">
            <w:pPr>
              <w:widowControl w:val="0"/>
              <w:spacing w:line="240" w:lineRule="auto"/>
              <w:jc w:val="both"/>
              <w:rPr>
                <w:sz w:val="24"/>
                <w:szCs w:val="24"/>
              </w:rPr>
            </w:pPr>
            <w:r>
              <w:rPr>
                <w:sz w:val="24"/>
                <w:szCs w:val="24"/>
              </w:rPr>
              <w:t>$15,080/year (~SGD20,576.66)</w:t>
            </w:r>
          </w:p>
          <w:p w:rsidR="007A5D2F" w:rsidRDefault="000825C8">
            <w:pPr>
              <w:widowControl w:val="0"/>
              <w:spacing w:line="240" w:lineRule="auto"/>
              <w:jc w:val="both"/>
              <w:rPr>
                <w:color w:val="222222"/>
                <w:sz w:val="24"/>
                <w:szCs w:val="24"/>
                <w:highlight w:val="white"/>
              </w:rPr>
            </w:pPr>
            <w:r>
              <w:rPr>
                <w:color w:val="222222"/>
                <w:sz w:val="24"/>
                <w:szCs w:val="24"/>
                <w:highlight w:val="white"/>
              </w:rPr>
              <w:t>$66,220/year (~SGD73,730.37)</w:t>
            </w:r>
          </w:p>
          <w:p w:rsidR="007A5D2F" w:rsidRDefault="000825C8">
            <w:pPr>
              <w:widowControl w:val="0"/>
              <w:spacing w:line="240" w:lineRule="auto"/>
              <w:jc w:val="both"/>
              <w:rPr>
                <w:color w:val="222222"/>
                <w:sz w:val="24"/>
                <w:szCs w:val="24"/>
                <w:highlight w:val="white"/>
              </w:rPr>
            </w:pPr>
            <w:r>
              <w:rPr>
                <w:color w:val="222222"/>
                <w:sz w:val="24"/>
                <w:szCs w:val="24"/>
                <w:highlight w:val="white"/>
              </w:rPr>
              <w:t>$1,467,029/year(~SGD</w:t>
            </w:r>
            <w:r>
              <w:rPr>
                <w:color w:val="212121"/>
                <w:sz w:val="24"/>
                <w:szCs w:val="24"/>
                <w:highlight w:val="white"/>
              </w:rPr>
              <w:t>1,995,746.25)</w:t>
            </w:r>
          </w:p>
        </w:tc>
      </w:tr>
    </w:tbl>
    <w:p w:rsidR="007A5D2F" w:rsidRDefault="007A5D2F">
      <w:pPr>
        <w:rPr>
          <w:sz w:val="28"/>
          <w:szCs w:val="28"/>
        </w:rPr>
      </w:pPr>
    </w:p>
    <w:p w:rsidR="007A5D2F" w:rsidRDefault="000825C8">
      <w:pPr>
        <w:jc w:val="both"/>
        <w:rPr>
          <w:sz w:val="28"/>
          <w:szCs w:val="28"/>
        </w:rPr>
      </w:pPr>
      <w:r>
        <w:rPr>
          <w:sz w:val="28"/>
          <w:szCs w:val="28"/>
        </w:rPr>
        <w:t>4.1.1 Income distribution over the years</w:t>
      </w:r>
    </w:p>
    <w:p w:rsidR="007A5D2F" w:rsidRDefault="000825C8">
      <w:pPr>
        <w:jc w:val="both"/>
        <w:rPr>
          <w:sz w:val="28"/>
          <w:szCs w:val="28"/>
          <w:u w:val="single"/>
        </w:rPr>
      </w:pPr>
      <w:r>
        <w:rPr>
          <w:sz w:val="28"/>
          <w:szCs w:val="28"/>
          <w:u w:val="single"/>
        </w:rPr>
        <w:t>Pre-Tax</w:t>
      </w:r>
    </w:p>
    <w:p w:rsidR="007A5D2F" w:rsidRDefault="000825C8" w:rsidP="00C42DAA">
      <w:pPr>
        <w:jc w:val="center"/>
        <w:rPr>
          <w:sz w:val="24"/>
          <w:szCs w:val="24"/>
        </w:rPr>
      </w:pPr>
      <w:r>
        <w:rPr>
          <w:noProof/>
        </w:rPr>
        <w:drawing>
          <wp:inline distT="0" distB="0" distL="0" distR="0">
            <wp:extent cx="5943600" cy="36576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C42DAA" w:rsidRDefault="00C42DAA" w:rsidP="00C42DAA">
      <w:pPr>
        <w:rPr>
          <w:sz w:val="24"/>
          <w:szCs w:val="24"/>
        </w:rPr>
      </w:pPr>
    </w:p>
    <w:p w:rsidR="007A5D2F" w:rsidRDefault="000825C8" w:rsidP="00C42DAA">
      <w:pPr>
        <w:jc w:val="both"/>
        <w:rPr>
          <w:b/>
          <w:sz w:val="28"/>
          <w:szCs w:val="28"/>
          <w:u w:val="single"/>
        </w:rPr>
      </w:pPr>
      <w:r>
        <w:rPr>
          <w:b/>
          <w:sz w:val="28"/>
          <w:szCs w:val="28"/>
          <w:u w:val="single"/>
        </w:rPr>
        <w:t>ANALYSIS</w:t>
      </w:r>
    </w:p>
    <w:p w:rsidR="007A5D2F" w:rsidRDefault="000825C8">
      <w:pPr>
        <w:spacing w:line="360" w:lineRule="auto"/>
        <w:jc w:val="both"/>
        <w:rPr>
          <w:sz w:val="24"/>
          <w:szCs w:val="24"/>
        </w:rPr>
      </w:pPr>
      <w:r>
        <w:rPr>
          <w:sz w:val="24"/>
          <w:szCs w:val="24"/>
        </w:rPr>
        <w:t xml:space="preserve">Based on visual observation, it is seen that in the US, the income share owned by the bottom 90% decreases over the years. </w:t>
      </w:r>
      <w:r w:rsidR="003D032E">
        <w:rPr>
          <w:sz w:val="24"/>
          <w:szCs w:val="24"/>
        </w:rPr>
        <w:t>On the other hand</w:t>
      </w:r>
      <w:r>
        <w:rPr>
          <w:sz w:val="24"/>
          <w:szCs w:val="24"/>
        </w:rPr>
        <w:t xml:space="preserve">, the income share owned by the </w:t>
      </w:r>
      <w:r w:rsidR="003D032E">
        <w:rPr>
          <w:sz w:val="24"/>
          <w:szCs w:val="24"/>
        </w:rPr>
        <w:t>top 1-10%</w:t>
      </w:r>
      <w:r>
        <w:rPr>
          <w:sz w:val="24"/>
          <w:szCs w:val="24"/>
        </w:rPr>
        <w:t xml:space="preserve"> </w:t>
      </w:r>
      <w:r w:rsidR="003D032E">
        <w:rPr>
          <w:sz w:val="24"/>
          <w:szCs w:val="24"/>
        </w:rPr>
        <w:t xml:space="preserve">gradually increases over the years. </w:t>
      </w:r>
      <w:r>
        <w:rPr>
          <w:sz w:val="24"/>
          <w:szCs w:val="24"/>
        </w:rPr>
        <w:t>The bottom 90% was initially close to the ideal inequality line but</w:t>
      </w:r>
      <w:r w:rsidR="003D032E">
        <w:rPr>
          <w:sz w:val="24"/>
          <w:szCs w:val="24"/>
        </w:rPr>
        <w:t xml:space="preserve"> ever since the 1980s, its </w:t>
      </w:r>
      <w:r w:rsidR="00C42DAA" w:rsidRPr="009662DA">
        <w:rPr>
          <w:color w:val="222222"/>
          <w:sz w:val="24"/>
          <w:szCs w:val="24"/>
          <w:highlight w:val="white"/>
        </w:rPr>
        <w:t>Ψ</w:t>
      </w:r>
      <w:r w:rsidR="00C42DAA" w:rsidRPr="009662DA">
        <w:rPr>
          <w:rFonts w:eastAsia="Cambria"/>
          <w:sz w:val="24"/>
          <w:szCs w:val="24"/>
        </w:rPr>
        <w:t xml:space="preserve"> value</w:t>
      </w:r>
      <w:r w:rsidR="00C42DAA">
        <w:rPr>
          <w:rFonts w:eastAsia="Cambria"/>
          <w:sz w:val="24"/>
          <w:szCs w:val="24"/>
        </w:rPr>
        <w:t xml:space="preserve"> has been declining </w:t>
      </w:r>
      <w:r>
        <w:rPr>
          <w:sz w:val="24"/>
          <w:szCs w:val="24"/>
        </w:rPr>
        <w:t xml:space="preserve">which means that they are receiving lesser and lesser than their fair share. </w:t>
      </w:r>
      <w:r w:rsidR="00C42DAA">
        <w:rPr>
          <w:sz w:val="24"/>
          <w:szCs w:val="24"/>
        </w:rPr>
        <w:t>For t</w:t>
      </w:r>
      <w:r>
        <w:rPr>
          <w:sz w:val="24"/>
          <w:szCs w:val="24"/>
        </w:rPr>
        <w:t>he top 1%</w:t>
      </w:r>
      <w:r w:rsidR="00C42DAA">
        <w:rPr>
          <w:sz w:val="24"/>
          <w:szCs w:val="24"/>
        </w:rPr>
        <w:t xml:space="preserve">, its </w:t>
      </w:r>
      <w:r w:rsidR="00C42DAA" w:rsidRPr="009662DA">
        <w:rPr>
          <w:color w:val="222222"/>
          <w:sz w:val="24"/>
          <w:szCs w:val="24"/>
          <w:highlight w:val="white"/>
        </w:rPr>
        <w:t>Ψ</w:t>
      </w:r>
      <w:r w:rsidR="00C42DAA" w:rsidRPr="009662DA">
        <w:rPr>
          <w:rFonts w:eastAsia="Cambria"/>
          <w:sz w:val="24"/>
          <w:szCs w:val="24"/>
        </w:rPr>
        <w:t xml:space="preserve"> value</w:t>
      </w:r>
      <w:r w:rsidR="00C42DAA">
        <w:rPr>
          <w:rFonts w:eastAsia="Cambria"/>
          <w:sz w:val="24"/>
          <w:szCs w:val="24"/>
        </w:rPr>
        <w:t xml:space="preserve"> </w:t>
      </w:r>
      <w:r w:rsidR="00C42DAA">
        <w:rPr>
          <w:sz w:val="24"/>
          <w:szCs w:val="24"/>
        </w:rPr>
        <w:t xml:space="preserve">has been steadily increasing since the same time period of around 1980s. In recent years, its </w:t>
      </w:r>
      <w:r w:rsidR="00C42DAA" w:rsidRPr="009662DA">
        <w:rPr>
          <w:color w:val="222222"/>
          <w:sz w:val="24"/>
          <w:szCs w:val="24"/>
          <w:highlight w:val="white"/>
        </w:rPr>
        <w:t>Ψ</w:t>
      </w:r>
      <w:r w:rsidR="00C42DAA" w:rsidRPr="009662DA">
        <w:rPr>
          <w:rFonts w:eastAsia="Cambria"/>
          <w:sz w:val="24"/>
          <w:szCs w:val="24"/>
        </w:rPr>
        <w:t xml:space="preserve"> value</w:t>
      </w:r>
      <w:r>
        <w:rPr>
          <w:sz w:val="24"/>
          <w:szCs w:val="24"/>
        </w:rPr>
        <w:t xml:space="preserve"> </w:t>
      </w:r>
      <w:r w:rsidR="00C42DAA">
        <w:rPr>
          <w:sz w:val="24"/>
          <w:szCs w:val="24"/>
        </w:rPr>
        <w:t>has reached</w:t>
      </w:r>
      <w:r>
        <w:rPr>
          <w:sz w:val="24"/>
          <w:szCs w:val="24"/>
        </w:rPr>
        <w:t xml:space="preserve"> as high as 252% more than the ideal amount.</w:t>
      </w:r>
    </w:p>
    <w:p w:rsidR="00C42DAA" w:rsidRDefault="00C42DAA">
      <w:pPr>
        <w:spacing w:line="360" w:lineRule="auto"/>
        <w:jc w:val="both"/>
        <w:rPr>
          <w:sz w:val="24"/>
          <w:szCs w:val="24"/>
        </w:rPr>
      </w:pPr>
    </w:p>
    <w:p w:rsidR="007A5D2F" w:rsidRPr="00C42DAA" w:rsidRDefault="000825C8" w:rsidP="00C42DAA">
      <w:pPr>
        <w:rPr>
          <w:sz w:val="24"/>
          <w:szCs w:val="24"/>
        </w:rPr>
      </w:pPr>
      <w:r>
        <w:rPr>
          <w:sz w:val="28"/>
          <w:szCs w:val="28"/>
          <w:u w:val="single"/>
        </w:rPr>
        <w:t>Post-Tax</w:t>
      </w:r>
    </w:p>
    <w:p w:rsidR="007A5D2F" w:rsidRDefault="000825C8" w:rsidP="00C42DAA">
      <w:pPr>
        <w:jc w:val="center"/>
        <w:rPr>
          <w:sz w:val="28"/>
          <w:szCs w:val="28"/>
        </w:rPr>
      </w:pPr>
      <w:r>
        <w:rPr>
          <w:noProof/>
        </w:rPr>
        <w:lastRenderedPageBreak/>
        <w:drawing>
          <wp:inline distT="0" distB="0" distL="0" distR="0">
            <wp:extent cx="5683469" cy="3074276"/>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683469" cy="3074276"/>
                    </a:xfrm>
                    <a:prstGeom prst="rect">
                      <a:avLst/>
                    </a:prstGeom>
                    <a:ln/>
                  </pic:spPr>
                </pic:pic>
              </a:graphicData>
            </a:graphic>
          </wp:inline>
        </w:drawing>
      </w:r>
    </w:p>
    <w:p w:rsidR="00C42DAA" w:rsidRDefault="00C42DAA" w:rsidP="00C42DAA">
      <w:pPr>
        <w:rPr>
          <w:sz w:val="28"/>
          <w:szCs w:val="28"/>
        </w:rPr>
      </w:pPr>
    </w:p>
    <w:p w:rsidR="007A5D2F" w:rsidRDefault="000825C8">
      <w:pPr>
        <w:jc w:val="both"/>
        <w:rPr>
          <w:sz w:val="28"/>
          <w:szCs w:val="28"/>
        </w:rPr>
      </w:pPr>
      <w:r>
        <w:rPr>
          <w:b/>
          <w:sz w:val="28"/>
          <w:szCs w:val="28"/>
          <w:u w:val="single"/>
        </w:rPr>
        <w:t>ANALYSIS</w:t>
      </w:r>
    </w:p>
    <w:p w:rsidR="007A5D2F" w:rsidRDefault="00C42DAA">
      <w:pPr>
        <w:spacing w:line="360" w:lineRule="auto"/>
        <w:jc w:val="both"/>
        <w:rPr>
          <w:sz w:val="24"/>
          <w:szCs w:val="24"/>
        </w:rPr>
      </w:pPr>
      <w:r>
        <w:rPr>
          <w:sz w:val="24"/>
          <w:szCs w:val="24"/>
        </w:rPr>
        <w:t>For the post-tax data</w:t>
      </w:r>
      <w:r w:rsidR="000825C8">
        <w:rPr>
          <w:sz w:val="24"/>
          <w:szCs w:val="24"/>
        </w:rPr>
        <w:t xml:space="preserve">, the bottom 99% </w:t>
      </w:r>
      <w:r>
        <w:rPr>
          <w:sz w:val="24"/>
          <w:szCs w:val="24"/>
        </w:rPr>
        <w:t>is much closer to the</w:t>
      </w:r>
      <w:r w:rsidR="000825C8">
        <w:rPr>
          <w:sz w:val="24"/>
          <w:szCs w:val="24"/>
        </w:rPr>
        <w:t xml:space="preserve"> ideal inequality line.</w:t>
      </w:r>
      <w:r>
        <w:rPr>
          <w:sz w:val="24"/>
          <w:szCs w:val="24"/>
        </w:rPr>
        <w:t xml:space="preserve"> This is especially so for the bottom 90% where its </w:t>
      </w:r>
      <w:r w:rsidRPr="009662DA">
        <w:rPr>
          <w:color w:val="222222"/>
          <w:sz w:val="24"/>
          <w:szCs w:val="24"/>
          <w:highlight w:val="white"/>
        </w:rPr>
        <w:t>Ψ</w:t>
      </w:r>
      <w:r w:rsidRPr="009662DA">
        <w:rPr>
          <w:rFonts w:eastAsia="Cambria"/>
          <w:sz w:val="24"/>
          <w:szCs w:val="24"/>
        </w:rPr>
        <w:t xml:space="preserve"> value</w:t>
      </w:r>
      <w:r>
        <w:rPr>
          <w:rFonts w:eastAsia="Cambria"/>
          <w:sz w:val="24"/>
          <w:szCs w:val="24"/>
        </w:rPr>
        <w:t xml:space="preserve"> is ~-10% in post-tax as compared to ~-20% in pre-tax in recent years. </w:t>
      </w:r>
      <w:r w:rsidR="000825C8">
        <w:rPr>
          <w:sz w:val="24"/>
          <w:szCs w:val="24"/>
        </w:rPr>
        <w:t>From 1966 to 1981, the bottom 90% achieve almost close to 0% deviation from their ideal</w:t>
      </w:r>
      <w:r>
        <w:rPr>
          <w:sz w:val="24"/>
          <w:szCs w:val="24"/>
        </w:rPr>
        <w:t xml:space="preserve"> </w:t>
      </w:r>
      <w:r w:rsidR="000825C8">
        <w:rPr>
          <w:sz w:val="24"/>
          <w:szCs w:val="24"/>
        </w:rPr>
        <w:t xml:space="preserve">fair share. </w:t>
      </w:r>
      <w:r w:rsidR="003271F2">
        <w:rPr>
          <w:sz w:val="24"/>
          <w:szCs w:val="24"/>
        </w:rPr>
        <w:t>L</w:t>
      </w:r>
      <w:r w:rsidR="000825C8">
        <w:rPr>
          <w:sz w:val="24"/>
          <w:szCs w:val="24"/>
        </w:rPr>
        <w:t>ike the pre-tax data, over the years, the bottom 90% is receiving lesser and lesser than their fair share from the year 1982 onwards while the top 10%’s share is on an incline.</w:t>
      </w:r>
    </w:p>
    <w:p w:rsidR="00C42DAA" w:rsidRDefault="00C42DAA">
      <w:pPr>
        <w:spacing w:line="360" w:lineRule="auto"/>
        <w:jc w:val="both"/>
        <w:rPr>
          <w:sz w:val="24"/>
          <w:szCs w:val="24"/>
        </w:rPr>
      </w:pPr>
    </w:p>
    <w:p w:rsidR="007A5D2F" w:rsidRDefault="000825C8">
      <w:pPr>
        <w:spacing w:line="360" w:lineRule="auto"/>
        <w:jc w:val="both"/>
        <w:rPr>
          <w:sz w:val="24"/>
          <w:szCs w:val="24"/>
        </w:rPr>
      </w:pPr>
      <w:r>
        <w:rPr>
          <w:sz w:val="24"/>
          <w:szCs w:val="24"/>
        </w:rPr>
        <w:t xml:space="preserve">However, a difference between pre and post-tax data is that the pre-tax data shows that the </w:t>
      </w:r>
      <w:r w:rsidR="003271F2">
        <w:rPr>
          <w:sz w:val="24"/>
          <w:szCs w:val="24"/>
        </w:rPr>
        <w:t>top 1-10%</w:t>
      </w:r>
      <w:r>
        <w:rPr>
          <w:sz w:val="24"/>
          <w:szCs w:val="24"/>
        </w:rPr>
        <w:t xml:space="preserve"> is earning more than their ideal share </w:t>
      </w:r>
      <w:r w:rsidR="003271F2">
        <w:rPr>
          <w:sz w:val="24"/>
          <w:szCs w:val="24"/>
        </w:rPr>
        <w:t xml:space="preserve">while </w:t>
      </w:r>
      <w:r>
        <w:rPr>
          <w:sz w:val="24"/>
          <w:szCs w:val="24"/>
        </w:rPr>
        <w:t xml:space="preserve">the post-tax data indicates that they are in fact earning less than ideal. This could mean that the </w:t>
      </w:r>
      <w:r w:rsidR="003271F2">
        <w:rPr>
          <w:sz w:val="24"/>
          <w:szCs w:val="24"/>
        </w:rPr>
        <w:t xml:space="preserve">tax policies in US may not be ideal and beneficial to the top 1-10%. In other words, more research can be done on US taxation policies and the </w:t>
      </w:r>
      <w:r w:rsidR="003271F2" w:rsidRPr="009662DA">
        <w:rPr>
          <w:color w:val="222222"/>
          <w:sz w:val="24"/>
          <w:szCs w:val="24"/>
          <w:highlight w:val="white"/>
        </w:rPr>
        <w:t>Ψ</w:t>
      </w:r>
      <w:r w:rsidR="003271F2" w:rsidRPr="009662DA">
        <w:rPr>
          <w:rFonts w:eastAsia="Cambria"/>
          <w:sz w:val="24"/>
          <w:szCs w:val="24"/>
        </w:rPr>
        <w:t xml:space="preserve"> value</w:t>
      </w:r>
      <w:r w:rsidR="003271F2">
        <w:rPr>
          <w:rFonts w:eastAsia="Cambria"/>
          <w:sz w:val="24"/>
          <w:szCs w:val="24"/>
        </w:rPr>
        <w:t xml:space="preserve"> could be used as a reference to guide government in formulating tax policies which restore fairness to its society’s income distribution.</w:t>
      </w:r>
    </w:p>
    <w:p w:rsidR="003271F2" w:rsidRDefault="003271F2">
      <w:pPr>
        <w:jc w:val="both"/>
      </w:pPr>
    </w:p>
    <w:p w:rsidR="007A5D2F" w:rsidRDefault="000825C8">
      <w:pPr>
        <w:jc w:val="both"/>
        <w:rPr>
          <w:sz w:val="28"/>
          <w:szCs w:val="28"/>
        </w:rPr>
      </w:pPr>
      <w:r>
        <w:rPr>
          <w:sz w:val="28"/>
          <w:szCs w:val="28"/>
        </w:rPr>
        <w:t>5.1 Japan</w:t>
      </w:r>
    </w:p>
    <w:p w:rsidR="003271F2" w:rsidRDefault="000825C8" w:rsidP="003271F2">
      <w:pPr>
        <w:jc w:val="both"/>
        <w:rPr>
          <w:b/>
          <w:sz w:val="24"/>
          <w:szCs w:val="24"/>
        </w:rPr>
      </w:pPr>
      <w:r>
        <w:rPr>
          <w:b/>
          <w:sz w:val="24"/>
          <w:szCs w:val="24"/>
        </w:rPr>
        <w:t>Japan</w:t>
      </w:r>
      <w:r w:rsidR="003271F2">
        <w:rPr>
          <w:b/>
          <w:sz w:val="24"/>
          <w:szCs w:val="24"/>
        </w:rPr>
        <w:t xml:space="preserve"> </w:t>
      </w:r>
      <w:r>
        <w:rPr>
          <w:b/>
          <w:sz w:val="24"/>
          <w:szCs w:val="24"/>
        </w:rPr>
        <w:t>(Table Form):</w:t>
      </w:r>
    </w:p>
    <w:p w:rsidR="003271F2" w:rsidRDefault="003271F2" w:rsidP="003271F2">
      <w:pPr>
        <w:jc w:val="both"/>
        <w:rPr>
          <w:sz w:val="24"/>
          <w:szCs w:val="24"/>
        </w:rPr>
      </w:pPr>
    </w:p>
    <w:p w:rsidR="007A5D2F" w:rsidRDefault="000825C8" w:rsidP="003271F2">
      <w:pPr>
        <w:jc w:val="both"/>
        <w:rPr>
          <w:sz w:val="24"/>
          <w:szCs w:val="24"/>
        </w:rPr>
      </w:pPr>
      <w:r>
        <w:rPr>
          <w:sz w:val="24"/>
          <w:szCs w:val="24"/>
        </w:rPr>
        <w:lastRenderedPageBreak/>
        <w:t>The average working hours for full</w:t>
      </w:r>
      <w:r w:rsidR="003271F2">
        <w:rPr>
          <w:sz w:val="24"/>
          <w:szCs w:val="24"/>
        </w:rPr>
        <w:t>-</w:t>
      </w:r>
      <w:r>
        <w:rPr>
          <w:sz w:val="24"/>
          <w:szCs w:val="24"/>
        </w:rPr>
        <w:t>time work in Japan is 1,714 hours a year. Using this information, the annual salary for minimum, average and maximum can then be calculated.</w:t>
      </w:r>
    </w:p>
    <w:p w:rsidR="003271F2" w:rsidRPr="003271F2" w:rsidRDefault="003271F2" w:rsidP="003271F2">
      <w:pPr>
        <w:jc w:val="both"/>
        <w:rPr>
          <w:b/>
          <w:sz w:val="24"/>
          <w:szCs w:val="24"/>
        </w:rPr>
      </w:pPr>
    </w:p>
    <w:tbl>
      <w:tblPr>
        <w:tblStyle w:val="a4"/>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950"/>
      </w:tblGrid>
      <w:tr w:rsidR="007A5D2F">
        <w:trPr>
          <w:trHeight w:val="78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DATA GROUP</w:t>
            </w:r>
          </w:p>
        </w:tc>
        <w:tc>
          <w:tcPr>
            <w:tcW w:w="4950" w:type="dxa"/>
            <w:shd w:val="clear" w:color="auto" w:fill="auto"/>
            <w:tcMar>
              <w:top w:w="100" w:type="dxa"/>
              <w:left w:w="100" w:type="dxa"/>
              <w:bottom w:w="100" w:type="dxa"/>
              <w:right w:w="100" w:type="dxa"/>
            </w:tcMar>
          </w:tcPr>
          <w:p w:rsidR="007A5D2F" w:rsidRDefault="003271F2">
            <w:pPr>
              <w:widowControl w:val="0"/>
              <w:spacing w:line="240" w:lineRule="auto"/>
              <w:jc w:val="both"/>
              <w:rPr>
                <w:b/>
                <w:sz w:val="24"/>
                <w:szCs w:val="24"/>
              </w:rPr>
            </w:pPr>
            <w:r>
              <w:rPr>
                <w:b/>
                <w:sz w:val="24"/>
                <w:szCs w:val="24"/>
              </w:rPr>
              <w:t>Income</w:t>
            </w:r>
          </w:p>
        </w:tc>
      </w:tr>
      <w:tr w:rsidR="007A5D2F">
        <w:trPr>
          <w:trHeight w:val="720"/>
        </w:trPr>
        <w:tc>
          <w:tcPr>
            <w:tcW w:w="4680" w:type="dxa"/>
            <w:shd w:val="clear" w:color="auto" w:fill="auto"/>
            <w:tcMar>
              <w:top w:w="100" w:type="dxa"/>
              <w:left w:w="100" w:type="dxa"/>
              <w:bottom w:w="100" w:type="dxa"/>
              <w:right w:w="100" w:type="dxa"/>
            </w:tcMar>
          </w:tcPr>
          <w:p w:rsidR="007A5D2F" w:rsidRDefault="000825C8">
            <w:pPr>
              <w:widowControl w:val="0"/>
              <w:spacing w:line="240" w:lineRule="auto"/>
              <w:jc w:val="both"/>
              <w:rPr>
                <w:b/>
                <w:sz w:val="24"/>
                <w:szCs w:val="24"/>
              </w:rPr>
            </w:pPr>
            <w:r>
              <w:rPr>
                <w:b/>
                <w:sz w:val="24"/>
                <w:szCs w:val="24"/>
              </w:rPr>
              <w:t>Minimum Wage</w:t>
            </w:r>
          </w:p>
          <w:p w:rsidR="007A5D2F" w:rsidRDefault="000825C8">
            <w:pPr>
              <w:widowControl w:val="0"/>
              <w:spacing w:line="240" w:lineRule="auto"/>
              <w:jc w:val="both"/>
              <w:rPr>
                <w:b/>
                <w:sz w:val="24"/>
                <w:szCs w:val="24"/>
              </w:rPr>
            </w:pPr>
            <w:r>
              <w:rPr>
                <w:b/>
                <w:sz w:val="24"/>
                <w:szCs w:val="24"/>
              </w:rPr>
              <w:t>Average Wage</w:t>
            </w:r>
          </w:p>
          <w:p w:rsidR="007A5D2F" w:rsidRDefault="000825C8">
            <w:pPr>
              <w:widowControl w:val="0"/>
              <w:spacing w:line="240" w:lineRule="auto"/>
              <w:jc w:val="both"/>
              <w:rPr>
                <w:b/>
                <w:sz w:val="24"/>
                <w:szCs w:val="24"/>
              </w:rPr>
            </w:pPr>
            <w:r>
              <w:rPr>
                <w:b/>
                <w:sz w:val="24"/>
                <w:szCs w:val="24"/>
              </w:rPr>
              <w:t>Maximum Wage</w:t>
            </w:r>
          </w:p>
        </w:tc>
        <w:tc>
          <w:tcPr>
            <w:tcW w:w="4950" w:type="dxa"/>
            <w:shd w:val="clear" w:color="auto" w:fill="auto"/>
            <w:tcMar>
              <w:top w:w="100" w:type="dxa"/>
              <w:left w:w="100" w:type="dxa"/>
              <w:bottom w:w="100" w:type="dxa"/>
              <w:right w:w="100" w:type="dxa"/>
            </w:tcMar>
          </w:tcPr>
          <w:p w:rsidR="007A5D2F" w:rsidRDefault="000825C8">
            <w:pPr>
              <w:widowControl w:val="0"/>
              <w:spacing w:line="240" w:lineRule="auto"/>
              <w:jc w:val="both"/>
              <w:rPr>
                <w:color w:val="222222"/>
                <w:sz w:val="24"/>
                <w:szCs w:val="24"/>
                <w:highlight w:val="white"/>
              </w:rPr>
            </w:pPr>
            <w:r>
              <w:rPr>
                <w:color w:val="222222"/>
                <w:sz w:val="24"/>
                <w:szCs w:val="24"/>
                <w:highlight w:val="white"/>
              </w:rPr>
              <w:t>2,118,504 Yen/year</w:t>
            </w:r>
          </w:p>
          <w:p w:rsidR="007A5D2F" w:rsidRDefault="000825C8">
            <w:pPr>
              <w:widowControl w:val="0"/>
              <w:spacing w:line="240" w:lineRule="auto"/>
              <w:jc w:val="both"/>
              <w:rPr>
                <w:color w:val="222222"/>
                <w:sz w:val="24"/>
                <w:szCs w:val="24"/>
                <w:highlight w:val="white"/>
              </w:rPr>
            </w:pPr>
            <w:r>
              <w:rPr>
                <w:color w:val="222222"/>
                <w:sz w:val="24"/>
                <w:szCs w:val="24"/>
                <w:highlight w:val="white"/>
              </w:rPr>
              <w:t>3,768,919.53 Yen/year</w:t>
            </w:r>
          </w:p>
          <w:p w:rsidR="007A5D2F" w:rsidRDefault="000825C8">
            <w:pPr>
              <w:widowControl w:val="0"/>
              <w:spacing w:line="240" w:lineRule="auto"/>
              <w:jc w:val="both"/>
              <w:rPr>
                <w:color w:val="222222"/>
                <w:sz w:val="24"/>
                <w:szCs w:val="24"/>
                <w:highlight w:val="white"/>
              </w:rPr>
            </w:pPr>
            <w:r>
              <w:rPr>
                <w:color w:val="222222"/>
                <w:sz w:val="24"/>
                <w:szCs w:val="24"/>
                <w:highlight w:val="white"/>
              </w:rPr>
              <w:t>55,890,112 Yen/year</w:t>
            </w:r>
          </w:p>
        </w:tc>
      </w:tr>
    </w:tbl>
    <w:p w:rsidR="007A5D2F" w:rsidRDefault="007A5D2F">
      <w:pPr>
        <w:jc w:val="both"/>
        <w:rPr>
          <w:sz w:val="28"/>
          <w:szCs w:val="28"/>
        </w:rPr>
      </w:pPr>
    </w:p>
    <w:p w:rsidR="007A5D2F" w:rsidRDefault="000825C8">
      <w:pPr>
        <w:jc w:val="both"/>
      </w:pPr>
      <w:r>
        <w:rPr>
          <w:sz w:val="28"/>
          <w:szCs w:val="28"/>
        </w:rPr>
        <w:t>5.1.1 Income distribution over the years</w:t>
      </w:r>
    </w:p>
    <w:p w:rsidR="007A5D2F" w:rsidRDefault="000825C8">
      <w:pPr>
        <w:jc w:val="both"/>
        <w:rPr>
          <w:sz w:val="28"/>
          <w:szCs w:val="28"/>
          <w:u w:val="single"/>
        </w:rPr>
      </w:pPr>
      <w:r>
        <w:rPr>
          <w:sz w:val="28"/>
          <w:szCs w:val="28"/>
          <w:u w:val="single"/>
        </w:rPr>
        <w:t>Pre-Tax</w:t>
      </w:r>
    </w:p>
    <w:p w:rsidR="007A5D2F" w:rsidRDefault="000825C8" w:rsidP="003271F2">
      <w:pPr>
        <w:jc w:val="center"/>
      </w:pPr>
      <w:r>
        <w:rPr>
          <w:noProof/>
        </w:rPr>
        <w:drawing>
          <wp:inline distT="0" distB="0" distL="0" distR="0">
            <wp:extent cx="5210503" cy="309792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10503" cy="3097924"/>
                    </a:xfrm>
                    <a:prstGeom prst="rect">
                      <a:avLst/>
                    </a:prstGeom>
                    <a:ln/>
                  </pic:spPr>
                </pic:pic>
              </a:graphicData>
            </a:graphic>
          </wp:inline>
        </w:drawing>
      </w:r>
    </w:p>
    <w:p w:rsidR="003271F2" w:rsidRDefault="003271F2" w:rsidP="003271F2">
      <w:pPr>
        <w:jc w:val="center"/>
      </w:pPr>
    </w:p>
    <w:p w:rsidR="007A5D2F" w:rsidRDefault="000825C8">
      <w:pPr>
        <w:rPr>
          <w:b/>
          <w:sz w:val="28"/>
          <w:szCs w:val="28"/>
          <w:u w:val="single"/>
        </w:rPr>
      </w:pPr>
      <w:r>
        <w:rPr>
          <w:b/>
          <w:sz w:val="28"/>
          <w:szCs w:val="28"/>
          <w:u w:val="single"/>
        </w:rPr>
        <w:t>ANALYSIS</w:t>
      </w:r>
    </w:p>
    <w:p w:rsidR="000825C8" w:rsidRDefault="003271F2">
      <w:pPr>
        <w:spacing w:line="360" w:lineRule="auto"/>
        <w:jc w:val="both"/>
        <w:rPr>
          <w:rFonts w:eastAsia="Cambria"/>
          <w:sz w:val="24"/>
          <w:szCs w:val="24"/>
        </w:rPr>
      </w:pPr>
      <w:r>
        <w:rPr>
          <w:sz w:val="24"/>
          <w:szCs w:val="24"/>
        </w:rPr>
        <w:t>The</w:t>
      </w:r>
      <w:r w:rsidR="000825C8">
        <w:rPr>
          <w:sz w:val="24"/>
          <w:szCs w:val="24"/>
        </w:rPr>
        <w:t xml:space="preserve">re is a general trend of widening inequality in Japan where the </w:t>
      </w:r>
      <w:r w:rsidR="000825C8" w:rsidRPr="009662DA">
        <w:rPr>
          <w:color w:val="222222"/>
          <w:sz w:val="24"/>
          <w:szCs w:val="24"/>
          <w:highlight w:val="white"/>
        </w:rPr>
        <w:t>Ψ</w:t>
      </w:r>
      <w:r w:rsidR="000825C8" w:rsidRPr="009662DA">
        <w:rPr>
          <w:rFonts w:eastAsia="Cambria"/>
          <w:sz w:val="24"/>
          <w:szCs w:val="24"/>
        </w:rPr>
        <w:t xml:space="preserve"> value</w:t>
      </w:r>
      <w:r w:rsidR="000825C8">
        <w:rPr>
          <w:rFonts w:eastAsia="Cambria"/>
          <w:sz w:val="24"/>
          <w:szCs w:val="24"/>
        </w:rPr>
        <w:t xml:space="preserve"> of the bottom 90% is steadily declining while the </w:t>
      </w:r>
      <w:r w:rsidR="000825C8" w:rsidRPr="009662DA">
        <w:rPr>
          <w:color w:val="222222"/>
          <w:sz w:val="24"/>
          <w:szCs w:val="24"/>
          <w:highlight w:val="white"/>
        </w:rPr>
        <w:t>Ψ</w:t>
      </w:r>
      <w:r w:rsidR="000825C8" w:rsidRPr="009662DA">
        <w:rPr>
          <w:rFonts w:eastAsia="Cambria"/>
          <w:sz w:val="24"/>
          <w:szCs w:val="24"/>
        </w:rPr>
        <w:t xml:space="preserve"> value</w:t>
      </w:r>
      <w:r w:rsidR="000825C8">
        <w:rPr>
          <w:rFonts w:eastAsia="Cambria"/>
          <w:sz w:val="24"/>
          <w:szCs w:val="24"/>
        </w:rPr>
        <w:t>s of the top 10% is increasing over the years.</w:t>
      </w:r>
    </w:p>
    <w:p w:rsidR="000825C8" w:rsidRDefault="000825C8">
      <w:pPr>
        <w:spacing w:line="360" w:lineRule="auto"/>
        <w:jc w:val="both"/>
        <w:rPr>
          <w:sz w:val="24"/>
          <w:szCs w:val="24"/>
        </w:rPr>
      </w:pPr>
    </w:p>
    <w:p w:rsidR="000825C8" w:rsidRDefault="000825C8">
      <w:pPr>
        <w:spacing w:line="360" w:lineRule="auto"/>
        <w:jc w:val="both"/>
        <w:rPr>
          <w:sz w:val="24"/>
          <w:szCs w:val="24"/>
        </w:rPr>
      </w:pPr>
      <w:r>
        <w:rPr>
          <w:sz w:val="24"/>
          <w:szCs w:val="24"/>
        </w:rPr>
        <w:t>Two unusual peak</w:t>
      </w:r>
      <w:r w:rsidR="003271F2">
        <w:rPr>
          <w:sz w:val="24"/>
          <w:szCs w:val="24"/>
        </w:rPr>
        <w:t>s</w:t>
      </w:r>
      <w:r>
        <w:rPr>
          <w:sz w:val="24"/>
          <w:szCs w:val="24"/>
        </w:rPr>
        <w:t xml:space="preserve"> for the top 1% can be observed. In 1973, the top 1% </w:t>
      </w:r>
      <w:r w:rsidR="003271F2">
        <w:rPr>
          <w:sz w:val="24"/>
          <w:szCs w:val="24"/>
        </w:rPr>
        <w:t>received</w:t>
      </w:r>
      <w:r>
        <w:rPr>
          <w:sz w:val="24"/>
          <w:szCs w:val="24"/>
        </w:rPr>
        <w:t xml:space="preserve"> 269% more </w:t>
      </w:r>
      <w:r w:rsidR="003271F2">
        <w:rPr>
          <w:sz w:val="24"/>
          <w:szCs w:val="24"/>
        </w:rPr>
        <w:t>share than ideal</w:t>
      </w:r>
      <w:r>
        <w:rPr>
          <w:sz w:val="24"/>
          <w:szCs w:val="24"/>
        </w:rPr>
        <w:t xml:space="preserve"> in a span of 1 year, that value decreased by more than half to only 123%. On further research, it is discovered that in October 1973, Japan faced a severe oil crisis with the price of oil rising to 400%, resulting in that observed peak.</w:t>
      </w:r>
      <w:bookmarkStart w:id="1" w:name="_gjdgxs" w:colFirst="0" w:colLast="0"/>
      <w:bookmarkEnd w:id="1"/>
    </w:p>
    <w:p w:rsidR="000825C8" w:rsidRDefault="000825C8">
      <w:pPr>
        <w:spacing w:line="360" w:lineRule="auto"/>
        <w:jc w:val="both"/>
        <w:rPr>
          <w:sz w:val="24"/>
          <w:szCs w:val="24"/>
        </w:rPr>
      </w:pPr>
    </w:p>
    <w:p w:rsidR="007A5D2F" w:rsidRPr="000825C8" w:rsidRDefault="000825C8" w:rsidP="000825C8">
      <w:pPr>
        <w:spacing w:line="360" w:lineRule="auto"/>
        <w:jc w:val="both"/>
        <w:rPr>
          <w:sz w:val="24"/>
          <w:szCs w:val="24"/>
        </w:rPr>
      </w:pPr>
      <w:r>
        <w:rPr>
          <w:sz w:val="24"/>
          <w:szCs w:val="24"/>
        </w:rPr>
        <w:t>The 2</w:t>
      </w:r>
      <w:r>
        <w:rPr>
          <w:sz w:val="24"/>
          <w:szCs w:val="24"/>
          <w:vertAlign w:val="superscript"/>
        </w:rPr>
        <w:t>nd</w:t>
      </w:r>
      <w:r>
        <w:rPr>
          <w:sz w:val="24"/>
          <w:szCs w:val="24"/>
        </w:rPr>
        <w:t xml:space="preserve"> unusual peak occurred in 1990, with a landslide decline in the following few years. Research showed that in the 1990s, Japan was experiencing an economic turmoil, titled the Lost Decades which was a period of economic stagnation. This caused the economy to suffer and perhaps the plummet in the share of the top 1%.</w:t>
      </w:r>
    </w:p>
    <w:sectPr w:rsidR="007A5D2F" w:rsidRPr="000825C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15698"/>
    <w:multiLevelType w:val="multilevel"/>
    <w:tmpl w:val="8662EA6E"/>
    <w:lvl w:ilvl="0">
      <w:start w:val="1"/>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D2F"/>
    <w:rsid w:val="00031731"/>
    <w:rsid w:val="000825C8"/>
    <w:rsid w:val="001159B8"/>
    <w:rsid w:val="00126A02"/>
    <w:rsid w:val="001C60E7"/>
    <w:rsid w:val="003271F2"/>
    <w:rsid w:val="0039501A"/>
    <w:rsid w:val="003D032E"/>
    <w:rsid w:val="00516E15"/>
    <w:rsid w:val="005658B5"/>
    <w:rsid w:val="005B3235"/>
    <w:rsid w:val="00684F24"/>
    <w:rsid w:val="007A5D2F"/>
    <w:rsid w:val="00902C67"/>
    <w:rsid w:val="009662DA"/>
    <w:rsid w:val="00A86AA1"/>
    <w:rsid w:val="00C02EB3"/>
    <w:rsid w:val="00C42DAA"/>
    <w:rsid w:val="00C90D3F"/>
    <w:rsid w:val="00E16F28"/>
    <w:rsid w:val="00F962EE"/>
    <w:rsid w:val="00FA5D5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0EDB5B"/>
  <w15:docId w15:val="{575A8B4A-ED56-4A40-BBF4-369C619F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86AA1"/>
    <w:rPr>
      <w:color w:val="0000FF" w:themeColor="hyperlink"/>
      <w:u w:val="single"/>
    </w:rPr>
  </w:style>
  <w:style w:type="character" w:styleId="UnresolvedMention">
    <w:name w:val="Unresolved Mention"/>
    <w:basedOn w:val="DefaultParagraphFont"/>
    <w:uiPriority w:val="99"/>
    <w:semiHidden/>
    <w:unhideWhenUsed/>
    <w:rsid w:val="00A86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og.seedly.sg/salary-guide-singapore/"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ww.theedgesingapore.com/minimum-wage-singapor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imoney.my/articles/malaysia-highest-paying-jobs-2017"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14</Pages>
  <Words>2297</Words>
  <Characters>13097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Kai Qun Jeremy</cp:lastModifiedBy>
  <cp:revision>5</cp:revision>
  <dcterms:created xsi:type="dcterms:W3CDTF">2019-07-29T06:24:00Z</dcterms:created>
  <dcterms:modified xsi:type="dcterms:W3CDTF">2019-07-29T11:14:00Z</dcterms:modified>
</cp:coreProperties>
</file>