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Late payments are subject to a 1.5% monthly late fee after 30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__________________________</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