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A5F2B" w14:textId="0AA802D8" w:rsidR="00A92E68" w:rsidRPr="00A92E68" w:rsidRDefault="00A92E68" w:rsidP="00A92E68">
      <w:pPr>
        <w:spacing w:before="100" w:beforeAutospacing="1" w:after="100" w:afterAutospacing="1" w:line="240" w:lineRule="auto"/>
        <w:ind w:firstLine="0"/>
        <w:jc w:val="center"/>
        <w:outlineLvl w:val="0"/>
        <w:rPr>
          <w:rFonts w:ascii="Times New Roman" w:eastAsia="Times New Roman" w:hAnsi="Times New Roman" w:cs="Times New Roman"/>
          <w:b/>
          <w:bCs/>
          <w:kern w:val="36"/>
          <w:sz w:val="28"/>
          <w:szCs w:val="28"/>
          <w:lang w:val="en-IN" w:eastAsia="en-GB"/>
          <w14:ligatures w14:val="none"/>
        </w:rPr>
      </w:pPr>
      <w:r w:rsidRPr="00A92E68">
        <w:rPr>
          <w:rFonts w:ascii="Times New Roman" w:eastAsia="Times New Roman" w:hAnsi="Times New Roman" w:cs="Times New Roman"/>
          <w:b/>
          <w:bCs/>
          <w:kern w:val="36"/>
          <w:sz w:val="28"/>
          <w:szCs w:val="28"/>
          <w:lang w:val="en-IN" w:eastAsia="en-GB"/>
          <w14:ligatures w14:val="none"/>
        </w:rPr>
        <w:t>ANALYSIS AND INTERPRETATION OF DETECTED ANOMALIES</w:t>
      </w:r>
    </w:p>
    <w:p w14:paraId="6B31AB2B" w14:textId="77777777"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This study examines anomalies identified in CDC COVID-19 case surveillance data using multiple anomaly detection models. The objective is to evaluate whether detected irregularities correspond to meaningful real-world events. Anomaly detection methods identify statistical deviations from expected patterns. Interpretation of these deviations requires integration of domain knowledge and external data sources (Chandola et al., 2009; Doshi-Velez &amp; Kim, 2017).</w:t>
      </w:r>
    </w:p>
    <w:p w14:paraId="39D9F318" w14:textId="70964D03"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Three models were implemented: Isolation Forest, Local Outlier Factor, and One-Class SVM. Each model identified between 77 and 78 anomalies. A subset of 32 anomalies was consistently detected across all three models. These overlapping anomalies were treated as high-confidence candidates. Cross-model agreement reduces the likelihood that results are driven by model-specific assumptions. Interpretation was conducted by mapping temporal patterns in the data to documented events in the COVID-19 timeline using CDC reports.</w:t>
      </w:r>
    </w:p>
    <w:p w14:paraId="794FC458" w14:textId="77777777" w:rsidR="00A92E68" w:rsidRPr="00A92E68" w:rsidRDefault="00A92E68" w:rsidP="00A92E68">
      <w:pPr>
        <w:spacing w:before="100" w:beforeAutospacing="1" w:after="100" w:afterAutospacing="1" w:line="240" w:lineRule="auto"/>
        <w:ind w:firstLine="0"/>
        <w:jc w:val="both"/>
        <w:outlineLvl w:val="1"/>
        <w:rPr>
          <w:rFonts w:ascii="Times New Roman" w:eastAsia="Times New Roman" w:hAnsi="Times New Roman" w:cs="Times New Roman"/>
          <w:b/>
          <w:bCs/>
          <w:kern w:val="0"/>
          <w:sz w:val="28"/>
          <w:szCs w:val="28"/>
          <w:lang w:val="en-IN" w:eastAsia="en-GB"/>
          <w14:ligatures w14:val="none"/>
        </w:rPr>
      </w:pPr>
      <w:r w:rsidRPr="00A92E68">
        <w:rPr>
          <w:rFonts w:ascii="Times New Roman" w:eastAsia="Times New Roman" w:hAnsi="Times New Roman" w:cs="Times New Roman"/>
          <w:b/>
          <w:bCs/>
          <w:kern w:val="0"/>
          <w:sz w:val="28"/>
          <w:szCs w:val="28"/>
          <w:lang w:val="en-IN" w:eastAsia="en-GB"/>
          <w14:ligatures w14:val="none"/>
        </w:rPr>
        <w:t>Major Epidemiological Events: Omicron Surge (December 2021 to January 2022)</w:t>
      </w:r>
    </w:p>
    <w:p w14:paraId="042C6201" w14:textId="77777777"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The largest cluster of anomalies occurs between December 2021 and January 2022. During this period, the data shows extreme spikes in daily case counts and large positive changes between consecutive days. These observations were consistently flagged across all models, indicating substantial deviation from baseline temporal patterns.</w:t>
      </w:r>
    </w:p>
    <w:p w14:paraId="35B86168" w14:textId="77777777"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CDC reports indicate that the United States experienced its highest recorded daily case counts during this period, with nearly one million cases reported in a single day (CDC, 2022). The Omicron variant is associated with higher transmissibility, leading to rapid increases in infections (Karim &amp; Karim, 2021).</w:t>
      </w:r>
    </w:p>
    <w:p w14:paraId="59EC7A94" w14:textId="3E278826"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From a data perspective, these anomalies are driven by the magnitude and rate of change in case counts. Rapid increases produce large daily differences, while rolling averages adjust more gradually. This creates strong deviations from expected patterns. These anomalies correspond to large-scale epidemiological events reflected directly in the data.</w:t>
      </w:r>
    </w:p>
    <w:p w14:paraId="602764FE" w14:textId="77777777" w:rsidR="00A92E68" w:rsidRPr="00A92E68" w:rsidRDefault="00A92E68" w:rsidP="00A92E68">
      <w:pPr>
        <w:spacing w:before="100" w:beforeAutospacing="1" w:after="100" w:afterAutospacing="1" w:line="240" w:lineRule="auto"/>
        <w:ind w:firstLine="0"/>
        <w:jc w:val="both"/>
        <w:outlineLvl w:val="1"/>
        <w:rPr>
          <w:rFonts w:ascii="Times New Roman" w:eastAsia="Times New Roman" w:hAnsi="Times New Roman" w:cs="Times New Roman"/>
          <w:b/>
          <w:bCs/>
          <w:kern w:val="0"/>
          <w:sz w:val="28"/>
          <w:szCs w:val="28"/>
          <w:lang w:val="en-IN" w:eastAsia="en-GB"/>
          <w14:ligatures w14:val="none"/>
        </w:rPr>
      </w:pPr>
      <w:r w:rsidRPr="00A92E68">
        <w:rPr>
          <w:rFonts w:ascii="Times New Roman" w:eastAsia="Times New Roman" w:hAnsi="Times New Roman" w:cs="Times New Roman"/>
          <w:b/>
          <w:bCs/>
          <w:kern w:val="0"/>
          <w:sz w:val="28"/>
          <w:szCs w:val="28"/>
          <w:lang w:val="en-IN" w:eastAsia="en-GB"/>
          <w14:ligatures w14:val="none"/>
        </w:rPr>
        <w:t>Post-Holiday Surge (January 2021)</w:t>
      </w:r>
    </w:p>
    <w:p w14:paraId="625A4D52" w14:textId="77777777"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A secondary cluster of anomalies appears in January 2021. The data shows a shift from a relatively stable period to a noticeable increase in daily case counts. These changes are identified as deviations from prior trends.</w:t>
      </w:r>
    </w:p>
    <w:p w14:paraId="3D5535F4" w14:textId="77777777"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lastRenderedPageBreak/>
        <w:t>This period aligns with increased transmission following holiday gatherings and early stages of variant spread. Reporting delays also contribute to observed patterns. Cases accumulated over several days are often released in batches, producing irregular spikes in daily counts. Epidemiological surveillance data commonly reflects these reporting dynamics, particularly during periods of system strain or behavioral change (</w:t>
      </w:r>
      <w:proofErr w:type="spellStart"/>
      <w:r w:rsidRPr="00A92E68">
        <w:rPr>
          <w:rFonts w:ascii="Times New Roman" w:eastAsia="Times New Roman" w:hAnsi="Times New Roman" w:cs="Times New Roman"/>
          <w:kern w:val="0"/>
          <w:sz w:val="28"/>
          <w:szCs w:val="28"/>
          <w:lang w:val="en-IN" w:eastAsia="en-GB"/>
          <w14:ligatures w14:val="none"/>
        </w:rPr>
        <w:t>Gostic</w:t>
      </w:r>
      <w:proofErr w:type="spellEnd"/>
      <w:r w:rsidRPr="00A92E68">
        <w:rPr>
          <w:rFonts w:ascii="Times New Roman" w:eastAsia="Times New Roman" w:hAnsi="Times New Roman" w:cs="Times New Roman"/>
          <w:kern w:val="0"/>
          <w:sz w:val="28"/>
          <w:szCs w:val="28"/>
          <w:lang w:val="en-IN" w:eastAsia="en-GB"/>
          <w14:ligatures w14:val="none"/>
        </w:rPr>
        <w:t xml:space="preserve"> et al., 2020; McGough et al., 2020).</w:t>
      </w:r>
    </w:p>
    <w:p w14:paraId="0903B274" w14:textId="77777777"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The anomaly reflects both increased transmission and reporting structure. The detected deviation is consistent with known patterns in surveillance data.</w:t>
      </w:r>
    </w:p>
    <w:p w14:paraId="06A97749" w14:textId="340AD106" w:rsidR="00A92E68" w:rsidRPr="00A92E68" w:rsidRDefault="00A92E68" w:rsidP="00A92E68">
      <w:pPr>
        <w:spacing w:line="240" w:lineRule="auto"/>
        <w:ind w:firstLine="0"/>
        <w:jc w:val="both"/>
        <w:rPr>
          <w:rFonts w:ascii="Times New Roman" w:eastAsia="Times New Roman" w:hAnsi="Times New Roman" w:cs="Times New Roman"/>
          <w:b/>
          <w:bCs/>
          <w:kern w:val="0"/>
          <w:sz w:val="28"/>
          <w:szCs w:val="28"/>
          <w:lang w:val="en-IN" w:eastAsia="en-GB"/>
          <w14:ligatures w14:val="none"/>
        </w:rPr>
      </w:pPr>
      <w:r w:rsidRPr="00A92E68">
        <w:rPr>
          <w:rFonts w:ascii="Times New Roman" w:eastAsia="Times New Roman" w:hAnsi="Times New Roman" w:cs="Times New Roman"/>
          <w:b/>
          <w:bCs/>
          <w:kern w:val="0"/>
          <w:sz w:val="28"/>
          <w:szCs w:val="28"/>
          <w:lang w:val="en-IN" w:eastAsia="en-GB"/>
          <w14:ligatures w14:val="none"/>
        </w:rPr>
        <w:t>Variant-Driven Resurgence (Summer 2022)</w:t>
      </w:r>
    </w:p>
    <w:p w14:paraId="2E51CFDC" w14:textId="77777777"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Moderate anomalies are observed during the summer of 2022. These are characterized by elevated variability and localized increases in case counts. The magnitude of these deviations is lower than the Omicron surge but remains distinguishable from surrounding data.</w:t>
      </w:r>
    </w:p>
    <w:p w14:paraId="13A0086F" w14:textId="77777777"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CDC reports indicate that Omicron subvariants BA.4 and BA.5 became dominant during this period, contributing to renewed transmission (CDC, 2022). The data reflects gradual increases rather than abrupt spikes.</w:t>
      </w:r>
    </w:p>
    <w:p w14:paraId="59F3859F" w14:textId="1159C6CB"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 xml:space="preserve">From a </w:t>
      </w:r>
      <w:proofErr w:type="spellStart"/>
      <w:r w:rsidRPr="00A92E68">
        <w:rPr>
          <w:rFonts w:ascii="Times New Roman" w:eastAsia="Times New Roman" w:hAnsi="Times New Roman" w:cs="Times New Roman"/>
          <w:kern w:val="0"/>
          <w:sz w:val="28"/>
          <w:szCs w:val="28"/>
          <w:lang w:val="en-IN" w:eastAsia="en-GB"/>
          <w14:ligatures w14:val="none"/>
        </w:rPr>
        <w:t>modeling</w:t>
      </w:r>
      <w:proofErr w:type="spellEnd"/>
      <w:r w:rsidRPr="00A92E68">
        <w:rPr>
          <w:rFonts w:ascii="Times New Roman" w:eastAsia="Times New Roman" w:hAnsi="Times New Roman" w:cs="Times New Roman"/>
          <w:kern w:val="0"/>
          <w:sz w:val="28"/>
          <w:szCs w:val="28"/>
          <w:lang w:val="en-IN" w:eastAsia="en-GB"/>
          <w14:ligatures w14:val="none"/>
        </w:rPr>
        <w:t xml:space="preserve"> perspective, these anomalies arise from deviations relative to local trends. The models identify changes in variability and direction rather than extreme global values. This demonstrates sensitivity to moderate-scale changes in the data.</w:t>
      </w:r>
    </w:p>
    <w:p w14:paraId="6E5A0557" w14:textId="77777777" w:rsidR="00A92E68" w:rsidRPr="00A92E68" w:rsidRDefault="00A92E68" w:rsidP="00A92E68">
      <w:pPr>
        <w:spacing w:before="100" w:beforeAutospacing="1" w:after="100" w:afterAutospacing="1" w:line="240" w:lineRule="auto"/>
        <w:ind w:firstLine="0"/>
        <w:jc w:val="both"/>
        <w:outlineLvl w:val="1"/>
        <w:rPr>
          <w:rFonts w:ascii="Times New Roman" w:eastAsia="Times New Roman" w:hAnsi="Times New Roman" w:cs="Times New Roman"/>
          <w:b/>
          <w:bCs/>
          <w:kern w:val="0"/>
          <w:sz w:val="28"/>
          <w:szCs w:val="28"/>
          <w:lang w:val="en-IN" w:eastAsia="en-GB"/>
          <w14:ligatures w14:val="none"/>
        </w:rPr>
      </w:pPr>
      <w:r w:rsidRPr="00A92E68">
        <w:rPr>
          <w:rFonts w:ascii="Times New Roman" w:eastAsia="Times New Roman" w:hAnsi="Times New Roman" w:cs="Times New Roman"/>
          <w:b/>
          <w:bCs/>
          <w:kern w:val="0"/>
          <w:sz w:val="28"/>
          <w:szCs w:val="28"/>
          <w:lang w:val="en-IN" w:eastAsia="en-GB"/>
          <w14:ligatures w14:val="none"/>
        </w:rPr>
        <w:t>Non-Epidemiological Anomalies: Reporting Artifacts (2023 to 2024)</w:t>
      </w:r>
    </w:p>
    <w:p w14:paraId="0E8BDFFB" w14:textId="77777777"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Several anomalies observed in 2023 and 2024 appear as isolated spikes. These points are not associated with sustained increases in case counts. The data shows extreme values in daily counts and large changes relative to adjacent observations.</w:t>
      </w:r>
    </w:p>
    <w:p w14:paraId="271C5FF3" w14:textId="77777777"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 xml:space="preserve">No corresponding national-level epidemiological events are documented during these periods. Prior research indicates that COVID-19 surveillance data includes reporting delays, backlog releases, and retrospective corrections (McGough et al., 2020; </w:t>
      </w:r>
      <w:proofErr w:type="spellStart"/>
      <w:r w:rsidRPr="00A92E68">
        <w:rPr>
          <w:rFonts w:ascii="Times New Roman" w:eastAsia="Times New Roman" w:hAnsi="Times New Roman" w:cs="Times New Roman"/>
          <w:kern w:val="0"/>
          <w:sz w:val="28"/>
          <w:szCs w:val="28"/>
          <w:lang w:val="en-IN" w:eastAsia="en-GB"/>
          <w14:ligatures w14:val="none"/>
        </w:rPr>
        <w:t>Höhle</w:t>
      </w:r>
      <w:proofErr w:type="spellEnd"/>
      <w:r w:rsidRPr="00A92E68">
        <w:rPr>
          <w:rFonts w:ascii="Times New Roman" w:eastAsia="Times New Roman" w:hAnsi="Times New Roman" w:cs="Times New Roman"/>
          <w:kern w:val="0"/>
          <w:sz w:val="28"/>
          <w:szCs w:val="28"/>
          <w:lang w:val="en-IN" w:eastAsia="en-GB"/>
          <w14:ligatures w14:val="none"/>
        </w:rPr>
        <w:t xml:space="preserve"> &amp; an der Heiden, 2014). These processes can produce artificial spikes in reported cases.</w:t>
      </w:r>
    </w:p>
    <w:p w14:paraId="5208D7A2" w14:textId="0093FA6D"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The models identify these points as anomalies due to their statistical extremeness. The interpretation differs from earlier sections. These deviations reflect characteristics of the data collection process rather than changes in disease transmission.</w:t>
      </w:r>
    </w:p>
    <w:p w14:paraId="38454728" w14:textId="77777777" w:rsidR="00A92E68" w:rsidRPr="00A92E68" w:rsidRDefault="00A92E68" w:rsidP="00A92E68">
      <w:pPr>
        <w:spacing w:before="100" w:beforeAutospacing="1" w:after="100" w:afterAutospacing="1" w:line="240" w:lineRule="auto"/>
        <w:ind w:firstLine="0"/>
        <w:jc w:val="both"/>
        <w:outlineLvl w:val="1"/>
        <w:rPr>
          <w:rFonts w:ascii="Times New Roman" w:eastAsia="Times New Roman" w:hAnsi="Times New Roman" w:cs="Times New Roman"/>
          <w:b/>
          <w:bCs/>
          <w:kern w:val="0"/>
          <w:sz w:val="28"/>
          <w:szCs w:val="28"/>
          <w:lang w:val="en-IN" w:eastAsia="en-GB"/>
          <w14:ligatures w14:val="none"/>
        </w:rPr>
      </w:pPr>
      <w:r w:rsidRPr="00A92E68">
        <w:rPr>
          <w:rFonts w:ascii="Times New Roman" w:eastAsia="Times New Roman" w:hAnsi="Times New Roman" w:cs="Times New Roman"/>
          <w:b/>
          <w:bCs/>
          <w:kern w:val="0"/>
          <w:sz w:val="28"/>
          <w:szCs w:val="28"/>
          <w:lang w:val="en-IN" w:eastAsia="en-GB"/>
          <w14:ligatures w14:val="none"/>
        </w:rPr>
        <w:lastRenderedPageBreak/>
        <w:t>Synthesis and Interpretation</w:t>
      </w:r>
    </w:p>
    <w:p w14:paraId="54C7932F" w14:textId="77777777"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The results indicate that anomalies in COVID-19 surveillance data arise from two sources. The first source consists of epidemiological events, including variant-driven surges. The second source consists of structural features of the data, including reporting delays and corrections.</w:t>
      </w:r>
    </w:p>
    <w:p w14:paraId="0766611F" w14:textId="77777777" w:rsidR="00A92E68" w:rsidRPr="00A92E68" w:rsidRDefault="00A92E68" w:rsidP="00A92E68">
      <w:pPr>
        <w:spacing w:before="100" w:beforeAutospacing="1" w:after="100" w:afterAutospacing="1" w:line="240" w:lineRule="auto"/>
        <w:ind w:firstLine="0"/>
        <w:jc w:val="both"/>
        <w:rPr>
          <w:rFonts w:ascii="Times New Roman" w:eastAsia="Times New Roman" w:hAnsi="Times New Roman" w:cs="Times New Roman"/>
          <w:kern w:val="0"/>
          <w:sz w:val="28"/>
          <w:szCs w:val="28"/>
          <w:lang w:val="en-IN" w:eastAsia="en-GB"/>
          <w14:ligatures w14:val="none"/>
        </w:rPr>
      </w:pPr>
      <w:r w:rsidRPr="00A92E68">
        <w:rPr>
          <w:rFonts w:ascii="Times New Roman" w:eastAsia="Times New Roman" w:hAnsi="Times New Roman" w:cs="Times New Roman"/>
          <w:kern w:val="0"/>
          <w:sz w:val="28"/>
          <w:szCs w:val="28"/>
          <w:lang w:val="en-IN" w:eastAsia="en-GB"/>
          <w14:ligatures w14:val="none"/>
        </w:rPr>
        <w:t>Anomaly detection models identify deviations based on statistical criteria. These models do not incorporate causal information. Interpretation requires external validation and domain knowledge. This distinction highlights the role of interpretability in anomaly detection systems. Prior work emphasizes the importance of combining statistical methods with domain understanding to support reliable conclusions (Doshi-Velez &amp; Kim, 2017).</w:t>
      </w:r>
    </w:p>
    <w:p w14:paraId="42FBC41E" w14:textId="77777777" w:rsidR="00A443F6" w:rsidRPr="00A92E68" w:rsidRDefault="00A443F6" w:rsidP="00A92E68">
      <w:pPr>
        <w:jc w:val="both"/>
        <w:rPr>
          <w:sz w:val="28"/>
          <w:szCs w:val="28"/>
        </w:rPr>
      </w:pPr>
    </w:p>
    <w:sectPr w:rsidR="00A443F6" w:rsidRPr="00A92E68">
      <w:headerReference w:type="even" r:id="rId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01B4A" w14:textId="77777777" w:rsidR="004B4D72" w:rsidRDefault="004B4D72" w:rsidP="00A92E68">
      <w:pPr>
        <w:spacing w:line="240" w:lineRule="auto"/>
      </w:pPr>
      <w:r>
        <w:separator/>
      </w:r>
    </w:p>
  </w:endnote>
  <w:endnote w:type="continuationSeparator" w:id="0">
    <w:p w14:paraId="406D38BA" w14:textId="77777777" w:rsidR="004B4D72" w:rsidRDefault="004B4D72" w:rsidP="00A92E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03EA5" w14:textId="77777777" w:rsidR="004B4D72" w:rsidRDefault="004B4D72" w:rsidP="00A92E68">
      <w:pPr>
        <w:spacing w:line="240" w:lineRule="auto"/>
      </w:pPr>
      <w:r>
        <w:separator/>
      </w:r>
    </w:p>
  </w:footnote>
  <w:footnote w:type="continuationSeparator" w:id="0">
    <w:p w14:paraId="2B58A01B" w14:textId="77777777" w:rsidR="004B4D72" w:rsidRDefault="004B4D72" w:rsidP="00A92E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137879"/>
      <w:docPartObj>
        <w:docPartGallery w:val="Page Numbers (Top of Page)"/>
        <w:docPartUnique/>
      </w:docPartObj>
    </w:sdtPr>
    <w:sdtContent>
      <w:p w14:paraId="1C9D9A3D" w14:textId="687F831C" w:rsidR="00A92E68" w:rsidRDefault="00A92E68" w:rsidP="009A180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32D6E1" w14:textId="77777777" w:rsidR="00A92E68" w:rsidRDefault="00A92E68" w:rsidP="00A92E6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17988216"/>
      <w:docPartObj>
        <w:docPartGallery w:val="Page Numbers (Top of Page)"/>
        <w:docPartUnique/>
      </w:docPartObj>
    </w:sdtPr>
    <w:sdtContent>
      <w:p w14:paraId="402634EF" w14:textId="4E9A1D21" w:rsidR="00A92E68" w:rsidRPr="00A92E68" w:rsidRDefault="00A92E68" w:rsidP="009A1801">
        <w:pPr>
          <w:pStyle w:val="Header"/>
          <w:framePr w:wrap="none" w:vAnchor="text" w:hAnchor="margin" w:xAlign="right" w:y="1"/>
          <w:rPr>
            <w:rStyle w:val="PageNumber"/>
            <w:rFonts w:ascii="Times New Roman" w:hAnsi="Times New Roman" w:cs="Times New Roman"/>
          </w:rPr>
        </w:pPr>
        <w:r w:rsidRPr="00A92E68">
          <w:rPr>
            <w:rStyle w:val="PageNumber"/>
            <w:rFonts w:ascii="Times New Roman" w:hAnsi="Times New Roman" w:cs="Times New Roman"/>
          </w:rPr>
          <w:fldChar w:fldCharType="begin"/>
        </w:r>
        <w:r w:rsidRPr="00A92E68">
          <w:rPr>
            <w:rStyle w:val="PageNumber"/>
            <w:rFonts w:ascii="Times New Roman" w:hAnsi="Times New Roman" w:cs="Times New Roman"/>
          </w:rPr>
          <w:instrText xml:space="preserve"> PAGE </w:instrText>
        </w:r>
        <w:r w:rsidRPr="00A92E68">
          <w:rPr>
            <w:rStyle w:val="PageNumber"/>
            <w:rFonts w:ascii="Times New Roman" w:hAnsi="Times New Roman" w:cs="Times New Roman"/>
          </w:rPr>
          <w:fldChar w:fldCharType="separate"/>
        </w:r>
        <w:r w:rsidRPr="00A92E68">
          <w:rPr>
            <w:rStyle w:val="PageNumber"/>
            <w:rFonts w:ascii="Times New Roman" w:hAnsi="Times New Roman" w:cs="Times New Roman"/>
            <w:noProof/>
          </w:rPr>
          <w:t>1</w:t>
        </w:r>
        <w:r w:rsidRPr="00A92E68">
          <w:rPr>
            <w:rStyle w:val="PageNumber"/>
            <w:rFonts w:ascii="Times New Roman" w:hAnsi="Times New Roman" w:cs="Times New Roman"/>
          </w:rPr>
          <w:fldChar w:fldCharType="end"/>
        </w:r>
      </w:p>
    </w:sdtContent>
  </w:sdt>
  <w:p w14:paraId="781A297A" w14:textId="0A336E4A" w:rsidR="00A92E68" w:rsidRPr="00A92E68" w:rsidRDefault="00A92E68" w:rsidP="00A92E68">
    <w:pPr>
      <w:pStyle w:val="Header"/>
      <w:ind w:right="360"/>
      <w:rPr>
        <w:rFonts w:ascii="Times New Roman" w:hAnsi="Times New Roman" w:cs="Times New Roman"/>
      </w:rPr>
    </w:pPr>
    <w:r w:rsidRPr="00A92E68">
      <w:rPr>
        <w:rFonts w:ascii="Times New Roman" w:hAnsi="Times New Roman" w:cs="Times New Roman"/>
      </w:rPr>
      <w:t>DASC 6010</w:t>
    </w:r>
    <w:r w:rsidRPr="00A92E68">
      <w:rPr>
        <w:rFonts w:ascii="Times New Roman" w:hAnsi="Times New Roman" w:cs="Times New Roman"/>
      </w:rPr>
      <w:br/>
      <w:t>Data Interpretation</w:t>
    </w:r>
  </w:p>
  <w:p w14:paraId="6D994AB1" w14:textId="77777777" w:rsidR="00A92E68" w:rsidRPr="00A92E68" w:rsidRDefault="00A92E68">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68"/>
    <w:rsid w:val="002264ED"/>
    <w:rsid w:val="00337DEC"/>
    <w:rsid w:val="004B4D72"/>
    <w:rsid w:val="006E590E"/>
    <w:rsid w:val="00A443F6"/>
    <w:rsid w:val="00A67B1A"/>
    <w:rsid w:val="00A92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8AAB"/>
  <w15:chartTrackingRefBased/>
  <w15:docId w15:val="{07C5E23C-177D-4E40-B67A-13ADFD5D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92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E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E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E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E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E6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A92E68"/>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92E6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92E6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92E6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92E6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92E6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92E6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92E6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92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E6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92E68"/>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E6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92E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2E68"/>
    <w:rPr>
      <w:i/>
      <w:iCs/>
      <w:color w:val="404040" w:themeColor="text1" w:themeTint="BF"/>
      <w:lang w:val="en-US"/>
    </w:rPr>
  </w:style>
  <w:style w:type="paragraph" w:styleId="ListParagraph">
    <w:name w:val="List Paragraph"/>
    <w:basedOn w:val="Normal"/>
    <w:uiPriority w:val="34"/>
    <w:qFormat/>
    <w:rsid w:val="00A92E68"/>
    <w:pPr>
      <w:ind w:left="720"/>
      <w:contextualSpacing/>
    </w:pPr>
  </w:style>
  <w:style w:type="character" w:styleId="IntenseEmphasis">
    <w:name w:val="Intense Emphasis"/>
    <w:basedOn w:val="DefaultParagraphFont"/>
    <w:uiPriority w:val="21"/>
    <w:qFormat/>
    <w:rsid w:val="00A92E68"/>
    <w:rPr>
      <w:i/>
      <w:iCs/>
      <w:color w:val="0F4761" w:themeColor="accent1" w:themeShade="BF"/>
    </w:rPr>
  </w:style>
  <w:style w:type="paragraph" w:styleId="IntenseQuote">
    <w:name w:val="Intense Quote"/>
    <w:basedOn w:val="Normal"/>
    <w:next w:val="Normal"/>
    <w:link w:val="IntenseQuoteChar"/>
    <w:uiPriority w:val="30"/>
    <w:qFormat/>
    <w:rsid w:val="00A92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E68"/>
    <w:rPr>
      <w:i/>
      <w:iCs/>
      <w:color w:val="0F4761" w:themeColor="accent1" w:themeShade="BF"/>
      <w:lang w:val="en-US"/>
    </w:rPr>
  </w:style>
  <w:style w:type="character" w:styleId="IntenseReference">
    <w:name w:val="Intense Reference"/>
    <w:basedOn w:val="DefaultParagraphFont"/>
    <w:uiPriority w:val="32"/>
    <w:qFormat/>
    <w:rsid w:val="00A92E68"/>
    <w:rPr>
      <w:b/>
      <w:bCs/>
      <w:smallCaps/>
      <w:color w:val="0F4761" w:themeColor="accent1" w:themeShade="BF"/>
      <w:spacing w:val="5"/>
    </w:rPr>
  </w:style>
  <w:style w:type="character" w:styleId="Strong">
    <w:name w:val="Strong"/>
    <w:basedOn w:val="DefaultParagraphFont"/>
    <w:uiPriority w:val="22"/>
    <w:qFormat/>
    <w:rsid w:val="00A92E68"/>
    <w:rPr>
      <w:b/>
      <w:bCs/>
    </w:rPr>
  </w:style>
  <w:style w:type="paragraph" w:styleId="NormalWeb">
    <w:name w:val="Normal (Web)"/>
    <w:basedOn w:val="Normal"/>
    <w:uiPriority w:val="99"/>
    <w:semiHidden/>
    <w:unhideWhenUsed/>
    <w:rsid w:val="00A92E68"/>
    <w:pPr>
      <w:spacing w:before="100" w:beforeAutospacing="1" w:after="100" w:afterAutospacing="1" w:line="240" w:lineRule="auto"/>
      <w:ind w:firstLine="0"/>
    </w:pPr>
    <w:rPr>
      <w:rFonts w:ascii="Times New Roman" w:eastAsia="Times New Roman" w:hAnsi="Times New Roman" w:cs="Times New Roman"/>
      <w:kern w:val="0"/>
      <w:lang w:val="en-IN" w:eastAsia="en-GB"/>
      <w14:ligatures w14:val="none"/>
    </w:rPr>
  </w:style>
  <w:style w:type="paragraph" w:styleId="Header">
    <w:name w:val="header"/>
    <w:basedOn w:val="Normal"/>
    <w:link w:val="HeaderChar"/>
    <w:uiPriority w:val="99"/>
    <w:unhideWhenUsed/>
    <w:rsid w:val="00A92E68"/>
    <w:pPr>
      <w:tabs>
        <w:tab w:val="center" w:pos="4513"/>
        <w:tab w:val="right" w:pos="9026"/>
      </w:tabs>
      <w:spacing w:line="240" w:lineRule="auto"/>
    </w:pPr>
  </w:style>
  <w:style w:type="character" w:customStyle="1" w:styleId="HeaderChar">
    <w:name w:val="Header Char"/>
    <w:basedOn w:val="DefaultParagraphFont"/>
    <w:link w:val="Header"/>
    <w:uiPriority w:val="99"/>
    <w:rsid w:val="00A92E68"/>
    <w:rPr>
      <w:lang w:val="en-US"/>
    </w:rPr>
  </w:style>
  <w:style w:type="paragraph" w:styleId="Footer">
    <w:name w:val="footer"/>
    <w:basedOn w:val="Normal"/>
    <w:link w:val="FooterChar"/>
    <w:uiPriority w:val="99"/>
    <w:unhideWhenUsed/>
    <w:rsid w:val="00A92E68"/>
    <w:pPr>
      <w:tabs>
        <w:tab w:val="center" w:pos="4513"/>
        <w:tab w:val="right" w:pos="9026"/>
      </w:tabs>
      <w:spacing w:line="240" w:lineRule="auto"/>
    </w:pPr>
  </w:style>
  <w:style w:type="character" w:customStyle="1" w:styleId="FooterChar">
    <w:name w:val="Footer Char"/>
    <w:basedOn w:val="DefaultParagraphFont"/>
    <w:link w:val="Footer"/>
    <w:uiPriority w:val="99"/>
    <w:rsid w:val="00A92E68"/>
    <w:rPr>
      <w:lang w:val="en-US"/>
    </w:rPr>
  </w:style>
  <w:style w:type="character" w:styleId="PageNumber">
    <w:name w:val="page number"/>
    <w:basedOn w:val="DefaultParagraphFont"/>
    <w:uiPriority w:val="99"/>
    <w:semiHidden/>
    <w:unhideWhenUsed/>
    <w:rsid w:val="00A92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28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805</Words>
  <Characters>4595</Characters>
  <Application>Microsoft Office Word</Application>
  <DocSecurity>0</DocSecurity>
  <Lines>38</Lines>
  <Paragraphs>10</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Vakde</dc:creator>
  <cp:keywords/>
  <dc:description/>
  <cp:lastModifiedBy>Ananya Vakde</cp:lastModifiedBy>
  <cp:revision>1</cp:revision>
  <dcterms:created xsi:type="dcterms:W3CDTF">2026-04-18T01:09:00Z</dcterms:created>
  <dcterms:modified xsi:type="dcterms:W3CDTF">2026-04-18T01:11:00Z</dcterms:modified>
</cp:coreProperties>
</file>