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sz w:val="24"/>
          <w:szCs w:val="24"/>
          <w:lang w:val="en-US"/>
        </w:rPr>
      </w:pPr>
    </w:p>
    <w:p>
      <w:pPr>
        <w:spacing w:after="0"/>
        <w:rPr>
          <w:b/>
          <w:sz w:val="24"/>
          <w:szCs w:val="24"/>
          <w:lang w:val="en-US"/>
        </w:rPr>
      </w:pPr>
    </w:p>
    <w:p>
      <w:pPr>
        <w:spacing w:after="0"/>
        <w:rPr>
          <w:b/>
          <w:sz w:val="24"/>
          <w:szCs w:val="24"/>
          <w:lang w:val="en-US"/>
        </w:rPr>
      </w:pPr>
      <w:r>
        <w:rPr>
          <w:b/>
          <w:sz w:val="24"/>
          <w:szCs w:val="24"/>
          <w:lang w:val="en-US"/>
        </w:rPr>
        <w:t>Screening Report COMPOUND PLATFORM</w:t>
      </w:r>
    </w:p>
    <w:p>
      <w:pPr>
        <w:spacing w:after="0"/>
        <w:rPr>
          <w:b/>
          <w:sz w:val="24"/>
          <w:szCs w:val="24"/>
          <w:lang w:val="en-US"/>
        </w:rPr>
      </w:pPr>
    </w:p>
    <w:p>
      <w:pPr>
        <w:spacing w:after="0"/>
        <w:rPr>
          <w:sz w:val="24"/>
          <w:szCs w:val="24"/>
          <w:lang w:val="en-US"/>
        </w:rPr>
      </w:pPr>
      <w:r>
        <w:rPr>
          <w:b/>
          <w:sz w:val="24"/>
          <w:szCs w:val="24"/>
          <w:lang w:val="en-US"/>
        </w:rPr>
        <w:t xml:space="preserve">Report Number: </w:t>
      </w:r>
      <w:r>
        <w:rPr>
          <w:b/>
          <w:sz w:val="24"/>
          <w:szCs w:val="24"/>
          <w:lang w:val="en-US"/>
        </w:rPr>
        <w:tab/>
      </w:r>
      <w:r>
        <w:rPr>
          <w:b/>
          <w:sz w:val="24"/>
          <w:szCs w:val="24"/>
          <w:lang w:val="en-US"/>
        </w:rPr>
        <w:tab/>
      </w:r>
      <w:r>
        <w:rPr>
          <w:sz w:val="24"/>
          <w:szCs w:val="24"/>
          <w:lang w:val="en-US"/>
        </w:rPr>
        <w:t>R-020</w:t>
      </w:r>
    </w:p>
    <w:p>
      <w:pPr>
        <w:spacing w:after="0"/>
        <w:rPr>
          <w:b/>
          <w:sz w:val="24"/>
          <w:szCs w:val="24"/>
          <w:lang w:val="en-US"/>
        </w:rPr>
      </w:pPr>
      <w:r>
        <w:rPr>
          <w:b/>
          <w:sz w:val="24"/>
          <w:szCs w:val="24"/>
          <w:lang w:val="en-US"/>
        </w:rPr>
        <w:t>Report Initials:</w:t>
      </w:r>
      <w:r>
        <w:rPr>
          <w:sz w:val="24"/>
          <w:szCs w:val="24"/>
          <w:lang w:val="en-US"/>
        </w:rPr>
        <w:t xml:space="preserve"> </w:t>
      </w:r>
      <w:r>
        <w:rPr>
          <w:sz w:val="24"/>
          <w:szCs w:val="24"/>
          <w:lang w:val="en-US"/>
        </w:rPr>
        <w:tab/>
      </w:r>
      <w:r>
        <w:rPr>
          <w:sz w:val="24"/>
          <w:szCs w:val="24"/>
          <w:lang w:val="en-US"/>
        </w:rPr>
        <w:tab/>
      </w:r>
      <w:r>
        <w:rPr>
          <w:sz w:val="24"/>
          <w:szCs w:val="24"/>
        </w:rPr>
        <w:t xml:space="preserve">         </w:t>
      </w:r>
      <w:bookmarkStart w:id="6" w:name="_GoBack"/>
      <w:bookmarkEnd w:id="6"/>
      <w:r>
        <w:rPr>
          <w:sz w:val="24"/>
          <w:szCs w:val="24"/>
          <w:lang w:val="en-US"/>
        </w:rPr>
        <w:t>AD</w:t>
      </w:r>
    </w:p>
    <w:p>
      <w:pPr>
        <w:spacing w:after="0"/>
        <w:rPr>
          <w:b/>
          <w:sz w:val="24"/>
          <w:szCs w:val="24"/>
          <w:lang w:val="en-US"/>
        </w:rPr>
      </w:pPr>
      <w:r>
        <w:rPr>
          <w:b/>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4004945</wp:posOffset>
                </wp:positionH>
                <wp:positionV relativeFrom="paragraph">
                  <wp:posOffset>92710</wp:posOffset>
                </wp:positionV>
                <wp:extent cx="2374265" cy="1403985"/>
                <wp:effectExtent l="0" t="0" r="24130" b="13335"/>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spacing w:after="0"/>
                              <w:rPr>
                                <w:b/>
                                <w:lang w:val="en-US"/>
                              </w:rPr>
                            </w:pPr>
                            <w:r>
                              <w:rPr>
                                <w:b/>
                                <w:lang w:val="en-US"/>
                              </w:rPr>
                              <w:t xml:space="preserve">Recipient: </w:t>
                            </w:r>
                          </w:p>
                          <w:p>
                            <w:pPr>
                              <w:spacing w:after="0"/>
                              <w:rPr>
                                <w:rFonts w:ascii="Calibri" w:hAnsi="Calibri" w:eastAsia="Times New Roman" w:cs="Times New Roman"/>
                                <w:color w:val="000000"/>
                                <w:lang w:val="en-US" w:eastAsia="de-DE"/>
                              </w:rPr>
                            </w:pPr>
                            <w:r>
                              <w:rPr>
                                <w:rFonts w:ascii="Calibri" w:hAnsi="Calibri" w:eastAsia="Times New Roman" w:cs="Times New Roman"/>
                                <w:color w:val="000000"/>
                                <w:lang w:val="en-US" w:eastAsia="de-DE"/>
                              </w:rPr>
                              <w:t>Prof. Josep Bonjoch</w:t>
                            </w:r>
                          </w:p>
                          <w:p>
                            <w:pPr>
                              <w:rPr>
                                <w:rFonts w:ascii="Calibri" w:hAnsi="Calibri" w:eastAsia="Times New Roman" w:cs="Times New Roman"/>
                                <w:color w:val="000000"/>
                                <w:lang w:val="en-US" w:eastAsia="de-DE"/>
                              </w:rPr>
                            </w:pPr>
                            <w:r>
                              <w:rPr>
                                <w:rFonts w:ascii="Calibri" w:hAnsi="Calibri" w:eastAsia="Times New Roman" w:cs="Times New Roman"/>
                                <w:color w:val="000000"/>
                                <w:lang w:val="en-US" w:eastAsia="de-DE"/>
                              </w:rPr>
                              <w:t>Faiza Diaba</w:t>
                            </w:r>
                          </w:p>
                          <w:p>
                            <w:pPr>
                              <w:rPr>
                                <w:lang w:val="it-IT"/>
                              </w:rPr>
                            </w:pPr>
                            <w:r>
                              <w:rPr>
                                <w:rFonts w:ascii="Calibri" w:hAnsi="Calibri" w:eastAsia="Times New Roman" w:cs="Times New Roman"/>
                                <w:color w:val="000000"/>
                                <w:lang w:val="en-US" w:eastAsia="de-DE"/>
                              </w:rPr>
                              <w:br w:type="textWrapping"/>
                            </w:r>
                            <w:r>
                              <w:rPr>
                                <w:rFonts w:ascii="Calibri" w:hAnsi="Calibri" w:eastAsia="Times New Roman" w:cs="Times New Roman"/>
                                <w:color w:val="000000"/>
                                <w:lang w:val="en-US" w:eastAsia="de-DE"/>
                              </w:rPr>
                              <w:t>Laboratori de Química Orgànica</w:t>
                            </w:r>
                            <w:r>
                              <w:rPr>
                                <w:rFonts w:ascii="Calibri" w:hAnsi="Calibri" w:eastAsia="Times New Roman" w:cs="Times New Roman"/>
                                <w:color w:val="000000"/>
                                <w:lang w:val="en-US" w:eastAsia="de-DE"/>
                              </w:rPr>
                              <w:br w:type="textWrapping"/>
                            </w:r>
                            <w:r>
                              <w:rPr>
                                <w:rFonts w:ascii="Calibri" w:hAnsi="Calibri" w:eastAsia="Times New Roman" w:cs="Times New Roman"/>
                                <w:color w:val="000000"/>
                                <w:lang w:val="en-US" w:eastAsia="de-DE"/>
                              </w:rPr>
                              <w:t>Faculty of Pharmacy</w:t>
                            </w:r>
                            <w:r>
                              <w:rPr>
                                <w:rFonts w:ascii="Calibri" w:hAnsi="Calibri" w:eastAsia="Times New Roman" w:cs="Times New Roman"/>
                                <w:color w:val="000000"/>
                                <w:lang w:val="en-US" w:eastAsia="de-DE"/>
                              </w:rPr>
                              <w:br w:type="textWrapping"/>
                            </w:r>
                            <w:r>
                              <w:rPr>
                                <w:rFonts w:ascii="Calibri" w:hAnsi="Calibri" w:eastAsia="Times New Roman" w:cs="Times New Roman"/>
                                <w:color w:val="000000"/>
                                <w:lang w:val="en-US" w:eastAsia="de-DE"/>
                              </w:rPr>
                              <w:t>University of Barcelona</w:t>
                            </w:r>
                            <w:r>
                              <w:rPr>
                                <w:rFonts w:ascii="Calibri" w:hAnsi="Calibri" w:eastAsia="Times New Roman" w:cs="Times New Roman"/>
                                <w:color w:val="000000"/>
                                <w:lang w:val="en-US" w:eastAsia="de-DE"/>
                              </w:rPr>
                              <w:br w:type="textWrapping"/>
                            </w:r>
                            <w:r>
                              <w:rPr>
                                <w:rFonts w:ascii="Calibri" w:hAnsi="Calibri" w:eastAsia="Times New Roman" w:cs="Times New Roman"/>
                                <w:color w:val="000000"/>
                                <w:lang w:val="en-US" w:eastAsia="de-DE"/>
                              </w:rPr>
                              <w:t xml:space="preserve">Av. </w:t>
                            </w:r>
                            <w:r>
                              <w:rPr>
                                <w:rFonts w:ascii="Calibri" w:hAnsi="Calibri" w:eastAsia="Times New Roman" w:cs="Times New Roman"/>
                                <w:color w:val="000000"/>
                                <w:lang w:eastAsia="de-DE"/>
                              </w:rPr>
                              <w:t>Joan XXIII s/n</w:t>
                            </w:r>
                            <w:r>
                              <w:rPr>
                                <w:rFonts w:ascii="Calibri" w:hAnsi="Calibri" w:eastAsia="Times New Roman" w:cs="Times New Roman"/>
                                <w:color w:val="000000"/>
                                <w:lang w:eastAsia="de-DE"/>
                              </w:rPr>
                              <w:br w:type="textWrapping"/>
                            </w:r>
                            <w:r>
                              <w:rPr>
                                <w:rFonts w:ascii="Calibri" w:hAnsi="Calibri" w:eastAsia="Times New Roman" w:cs="Times New Roman"/>
                                <w:color w:val="000000"/>
                                <w:lang w:eastAsia="de-DE"/>
                              </w:rPr>
                              <w:t>08028-Barcelona</w:t>
                            </w:r>
                            <w:r>
                              <w:rPr>
                                <w:rFonts w:ascii="Calibri" w:hAnsi="Calibri" w:eastAsia="Times New Roman" w:cs="Times New Roman"/>
                                <w:color w:val="000000"/>
                                <w:lang w:eastAsia="de-DE"/>
                              </w:rPr>
                              <w:br w:type="textWrapping"/>
                            </w:r>
                            <w:r>
                              <w:rPr>
                                <w:rFonts w:ascii="Calibri" w:hAnsi="Calibri" w:eastAsia="Times New Roman" w:cs="Times New Roman"/>
                                <w:color w:val="000000"/>
                                <w:lang w:eastAsia="de-DE"/>
                              </w:rPr>
                              <w:t>Spain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315.35pt;margin-top:7.3pt;height:110.55pt;width:186.95pt;z-index:251659264;mso-width-relative:margin;mso-height-relative:margin;mso-width-percent:400;mso-height-percent:200;" fillcolor="#FFFFFF" filled="t" stroked="t" coordsize="21600,21600" o:gfxdata="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GBu&#10;6WvXAAAACwEAAA8AAAAAAAAAAQAgAAAAOAAAAGRycy9kb3ducmV2LnhtbFBLAQIUABQAAAAIAIdO&#10;4kC4RT3BDgIAAC8EAAAOAAAAAAAAAAEAIAAAADwBAABkcnMvZTJvRG9jLnhtbFBLBQYAAAAABgAG&#10;AFkBAAC8BQAAAAA=&#10;">
                <v:fill on="t" focussize="0,0"/>
                <v:stroke color="#FFFFFF [3212]" miterlimit="8" joinstyle="miter"/>
                <v:imagedata o:title=""/>
                <o:lock v:ext="edit" aspectratio="f"/>
                <v:textbox style="mso-fit-shape-to-text:t;">
                  <w:txbxContent>
                    <w:p>
                      <w:pPr>
                        <w:spacing w:after="0"/>
                        <w:rPr>
                          <w:b/>
                          <w:lang w:val="en-US"/>
                        </w:rPr>
                      </w:pPr>
                      <w:r>
                        <w:rPr>
                          <w:b/>
                          <w:lang w:val="en-US"/>
                        </w:rPr>
                        <w:t xml:space="preserve">Recipient: </w:t>
                      </w:r>
                    </w:p>
                    <w:p>
                      <w:pPr>
                        <w:spacing w:after="0"/>
                        <w:rPr>
                          <w:rFonts w:ascii="Calibri" w:hAnsi="Calibri" w:eastAsia="Times New Roman" w:cs="Times New Roman"/>
                          <w:color w:val="000000"/>
                          <w:lang w:val="en-US" w:eastAsia="de-DE"/>
                        </w:rPr>
                      </w:pPr>
                      <w:r>
                        <w:rPr>
                          <w:rFonts w:ascii="Calibri" w:hAnsi="Calibri" w:eastAsia="Times New Roman" w:cs="Times New Roman"/>
                          <w:color w:val="000000"/>
                          <w:lang w:val="en-US" w:eastAsia="de-DE"/>
                        </w:rPr>
                        <w:t>Prof. Josep Bonjoch</w:t>
                      </w:r>
                    </w:p>
                    <w:p>
                      <w:pPr>
                        <w:rPr>
                          <w:rFonts w:ascii="Calibri" w:hAnsi="Calibri" w:eastAsia="Times New Roman" w:cs="Times New Roman"/>
                          <w:color w:val="000000"/>
                          <w:lang w:val="en-US" w:eastAsia="de-DE"/>
                        </w:rPr>
                      </w:pPr>
                      <w:r>
                        <w:rPr>
                          <w:rFonts w:ascii="Calibri" w:hAnsi="Calibri" w:eastAsia="Times New Roman" w:cs="Times New Roman"/>
                          <w:color w:val="000000"/>
                          <w:lang w:val="en-US" w:eastAsia="de-DE"/>
                        </w:rPr>
                        <w:t>Faiza Diaba</w:t>
                      </w:r>
                    </w:p>
                    <w:p>
                      <w:pPr>
                        <w:rPr>
                          <w:lang w:val="it-IT"/>
                        </w:rPr>
                      </w:pPr>
                      <w:r>
                        <w:rPr>
                          <w:rFonts w:ascii="Calibri" w:hAnsi="Calibri" w:eastAsia="Times New Roman" w:cs="Times New Roman"/>
                          <w:color w:val="000000"/>
                          <w:lang w:val="en-US" w:eastAsia="de-DE"/>
                        </w:rPr>
                        <w:br w:type="textWrapping"/>
                      </w:r>
                      <w:r>
                        <w:rPr>
                          <w:rFonts w:ascii="Calibri" w:hAnsi="Calibri" w:eastAsia="Times New Roman" w:cs="Times New Roman"/>
                          <w:color w:val="000000"/>
                          <w:lang w:val="en-US" w:eastAsia="de-DE"/>
                        </w:rPr>
                        <w:t>Laboratori de Química Orgànica</w:t>
                      </w:r>
                      <w:r>
                        <w:rPr>
                          <w:rFonts w:ascii="Calibri" w:hAnsi="Calibri" w:eastAsia="Times New Roman" w:cs="Times New Roman"/>
                          <w:color w:val="000000"/>
                          <w:lang w:val="en-US" w:eastAsia="de-DE"/>
                        </w:rPr>
                        <w:br w:type="textWrapping"/>
                      </w:r>
                      <w:r>
                        <w:rPr>
                          <w:rFonts w:ascii="Calibri" w:hAnsi="Calibri" w:eastAsia="Times New Roman" w:cs="Times New Roman"/>
                          <w:color w:val="000000"/>
                          <w:lang w:val="en-US" w:eastAsia="de-DE"/>
                        </w:rPr>
                        <w:t>Faculty of Pharmacy</w:t>
                      </w:r>
                      <w:r>
                        <w:rPr>
                          <w:rFonts w:ascii="Calibri" w:hAnsi="Calibri" w:eastAsia="Times New Roman" w:cs="Times New Roman"/>
                          <w:color w:val="000000"/>
                          <w:lang w:val="en-US" w:eastAsia="de-DE"/>
                        </w:rPr>
                        <w:br w:type="textWrapping"/>
                      </w:r>
                      <w:r>
                        <w:rPr>
                          <w:rFonts w:ascii="Calibri" w:hAnsi="Calibri" w:eastAsia="Times New Roman" w:cs="Times New Roman"/>
                          <w:color w:val="000000"/>
                          <w:lang w:val="en-US" w:eastAsia="de-DE"/>
                        </w:rPr>
                        <w:t>University of Barcelona</w:t>
                      </w:r>
                      <w:r>
                        <w:rPr>
                          <w:rFonts w:ascii="Calibri" w:hAnsi="Calibri" w:eastAsia="Times New Roman" w:cs="Times New Roman"/>
                          <w:color w:val="000000"/>
                          <w:lang w:val="en-US" w:eastAsia="de-DE"/>
                        </w:rPr>
                        <w:br w:type="textWrapping"/>
                      </w:r>
                      <w:r>
                        <w:rPr>
                          <w:rFonts w:ascii="Calibri" w:hAnsi="Calibri" w:eastAsia="Times New Roman" w:cs="Times New Roman"/>
                          <w:color w:val="000000"/>
                          <w:lang w:val="en-US" w:eastAsia="de-DE"/>
                        </w:rPr>
                        <w:t xml:space="preserve">Av. </w:t>
                      </w:r>
                      <w:r>
                        <w:rPr>
                          <w:rFonts w:ascii="Calibri" w:hAnsi="Calibri" w:eastAsia="Times New Roman" w:cs="Times New Roman"/>
                          <w:color w:val="000000"/>
                          <w:lang w:eastAsia="de-DE"/>
                        </w:rPr>
                        <w:t>Joan XXIII s/n</w:t>
                      </w:r>
                      <w:r>
                        <w:rPr>
                          <w:rFonts w:ascii="Calibri" w:hAnsi="Calibri" w:eastAsia="Times New Roman" w:cs="Times New Roman"/>
                          <w:color w:val="000000"/>
                          <w:lang w:eastAsia="de-DE"/>
                        </w:rPr>
                        <w:br w:type="textWrapping"/>
                      </w:r>
                      <w:r>
                        <w:rPr>
                          <w:rFonts w:ascii="Calibri" w:hAnsi="Calibri" w:eastAsia="Times New Roman" w:cs="Times New Roman"/>
                          <w:color w:val="000000"/>
                          <w:lang w:eastAsia="de-DE"/>
                        </w:rPr>
                        <w:t>08028-Barcelona</w:t>
                      </w:r>
                      <w:r>
                        <w:rPr>
                          <w:rFonts w:ascii="Calibri" w:hAnsi="Calibri" w:eastAsia="Times New Roman" w:cs="Times New Roman"/>
                          <w:color w:val="000000"/>
                          <w:lang w:eastAsia="de-DE"/>
                        </w:rPr>
                        <w:br w:type="textWrapping"/>
                      </w:r>
                      <w:r>
                        <w:rPr>
                          <w:rFonts w:ascii="Calibri" w:hAnsi="Calibri" w:eastAsia="Times New Roman" w:cs="Times New Roman"/>
                          <w:color w:val="000000"/>
                          <w:lang w:eastAsia="de-DE"/>
                        </w:rPr>
                        <w:t>Spain</w:t>
                      </w:r>
                    </w:p>
                  </w:txbxContent>
                </v:textbox>
              </v:shape>
            </w:pict>
          </mc:Fallback>
        </mc:AlternateContent>
      </w:r>
    </w:p>
    <w:p>
      <w:pPr>
        <w:spacing w:after="0"/>
        <w:ind w:left="426"/>
        <w:rPr>
          <w:b/>
          <w:sz w:val="24"/>
          <w:szCs w:val="24"/>
          <w:lang w:val="en-US"/>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r>
        <w:rPr>
          <w:b/>
          <w:color w:val="808080" w:themeColor="text1" w:themeTint="80"/>
          <w:sz w:val="24"/>
          <w:szCs w:val="24"/>
          <w:lang w:val="en-US"/>
          <w14:textFill>
            <w14:solidFill>
              <w14:schemeClr w14:val="tx1">
                <w14:lumMod w14:val="50000"/>
                <w14:lumOff w14:val="50000"/>
              </w14:schemeClr>
            </w14:solidFill>
          </w14:textFill>
        </w:rPr>
        <w:t>Type: Primary Screen &amp; Secondary Screen</w:t>
      </w:r>
    </w:p>
    <w:p>
      <w:pPr>
        <w:pStyle w:val="8"/>
        <w:rPr>
          <w:lang w:val="en-US"/>
        </w:rPr>
      </w:pPr>
      <w:r>
        <w:rPr>
          <w:lang w:val="en-US"/>
        </w:rPr>
        <w:t xml:space="preserve">Antimicrobial activity against health-care associated pathogens </w:t>
      </w:r>
    </w:p>
    <w:p>
      <w:pPr>
        <w:spacing w:after="0" w:line="240" w:lineRule="auto"/>
        <w:rPr>
          <w:b/>
          <w:color w:val="808080" w:themeColor="text1" w:themeTint="80"/>
          <w:sz w:val="24"/>
          <w:szCs w:val="24"/>
          <w:lang w:val="en-US"/>
          <w14:textFill>
            <w14:solidFill>
              <w14:schemeClr w14:val="tx1">
                <w14:lumMod w14:val="50000"/>
                <w14:lumOff w14:val="50000"/>
              </w14:schemeClr>
            </w14:solidFill>
          </w14:textFill>
        </w:rPr>
      </w:pPr>
    </w:p>
    <w:sdt>
      <w:sdtPr>
        <w:rPr>
          <w:rFonts w:asciiTheme="minorHAnsi" w:hAnsiTheme="minorHAnsi" w:eastAsiaTheme="minorHAnsi" w:cstheme="minorBidi"/>
          <w:b w:val="0"/>
          <w:bCs w:val="0"/>
          <w:color w:val="808080" w:themeColor="text1" w:themeTint="80"/>
          <w:sz w:val="24"/>
          <w:szCs w:val="24"/>
          <w:lang w:val="de-DE" w:eastAsia="en-US"/>
          <w14:textFill>
            <w14:solidFill>
              <w14:schemeClr w14:val="tx1">
                <w14:lumMod w14:val="50000"/>
                <w14:lumOff w14:val="50000"/>
              </w14:schemeClr>
            </w14:solidFill>
          </w14:textFill>
        </w:rPr>
        <w:id w:val="0"/>
        <w:docPartObj>
          <w:docPartGallery w:val="Table of Contents"/>
          <w:docPartUnique/>
        </w:docPartObj>
      </w:sdtPr>
      <w:sdtEndPr>
        <w:rPr>
          <w:rFonts w:asciiTheme="minorHAnsi" w:hAnsiTheme="minorHAnsi" w:eastAsiaTheme="minorHAnsi" w:cstheme="minorBidi"/>
          <w:b w:val="0"/>
          <w:bCs w:val="0"/>
          <w:color w:val="auto"/>
          <w:sz w:val="24"/>
          <w:szCs w:val="24"/>
          <w:lang w:val="de-DE" w:eastAsia="en-US"/>
        </w:rPr>
      </w:sdtEndPr>
      <w:sdtContent>
        <w:p>
          <w:pPr>
            <w:pStyle w:val="21"/>
            <w:rPr>
              <w:rFonts w:asciiTheme="minorHAnsi" w:hAnsiTheme="minorHAnsi"/>
              <w:sz w:val="24"/>
              <w:szCs w:val="24"/>
            </w:rPr>
          </w:pPr>
          <w:r>
            <w:rPr>
              <w:rFonts w:asciiTheme="minorHAnsi" w:hAnsiTheme="minorHAnsi"/>
              <w:sz w:val="24"/>
              <w:szCs w:val="24"/>
            </w:rPr>
            <w:t>Contents</w:t>
          </w:r>
        </w:p>
        <w:p>
          <w:pPr>
            <w:rPr>
              <w:lang w:val="en-US" w:eastAsia="ja-JP"/>
            </w:rPr>
          </w:pPr>
        </w:p>
        <w:p>
          <w:pPr>
            <w:pStyle w:val="9"/>
            <w:tabs>
              <w:tab w:val="left" w:pos="660"/>
              <w:tab w:val="right" w:leader="dot" w:pos="9346"/>
            </w:tabs>
            <w:rPr>
              <w:rFonts w:eastAsiaTheme="minorEastAsia"/>
              <w:lang w:eastAsia="de-DE"/>
            </w:rPr>
          </w:pPr>
          <w:r>
            <w:rPr>
              <w:sz w:val="24"/>
              <w:szCs w:val="24"/>
            </w:rPr>
            <w:fldChar w:fldCharType="begin"/>
          </w:r>
          <w:r>
            <w:rPr>
              <w:sz w:val="24"/>
              <w:szCs w:val="24"/>
              <w:lang w:val="en-US"/>
            </w:rPr>
            <w:instrText xml:space="preserve"> TOC \o "1-3" \h \z \u </w:instrText>
          </w:r>
          <w:r>
            <w:rPr>
              <w:sz w:val="24"/>
              <w:szCs w:val="24"/>
            </w:rPr>
            <w:fldChar w:fldCharType="separate"/>
          </w:r>
          <w:r>
            <w:fldChar w:fldCharType="begin"/>
          </w:r>
          <w:r>
            <w:instrText xml:space="preserve"> HYPERLINK \l "_Toc503778073" </w:instrText>
          </w:r>
          <w:r>
            <w:fldChar w:fldCharType="separate"/>
          </w:r>
          <w:r>
            <w:rPr>
              <w:rStyle w:val="12"/>
              <w:lang w:val="en-US"/>
            </w:rPr>
            <w:t>[1]</w:t>
          </w:r>
          <w:r>
            <w:rPr>
              <w:rFonts w:eastAsiaTheme="minorEastAsia"/>
              <w:lang w:eastAsia="de-DE"/>
            </w:rPr>
            <w:tab/>
          </w:r>
          <w:r>
            <w:rPr>
              <w:rStyle w:val="12"/>
              <w:lang w:val="en-US"/>
            </w:rPr>
            <w:t>Preliminary Information</w:t>
          </w:r>
          <w:r>
            <w:tab/>
          </w:r>
          <w:r>
            <w:fldChar w:fldCharType="begin"/>
          </w:r>
          <w:r>
            <w:instrText xml:space="preserve"> PAGEREF _Toc503778073 \h </w:instrText>
          </w:r>
          <w:r>
            <w:fldChar w:fldCharType="separate"/>
          </w:r>
          <w:r>
            <w:t>2</w:t>
          </w:r>
          <w:r>
            <w:fldChar w:fldCharType="end"/>
          </w:r>
          <w:r>
            <w:fldChar w:fldCharType="end"/>
          </w:r>
        </w:p>
        <w:p>
          <w:pPr>
            <w:pStyle w:val="10"/>
            <w:tabs>
              <w:tab w:val="left" w:pos="880"/>
              <w:tab w:val="right" w:leader="dot" w:pos="9346"/>
            </w:tabs>
            <w:rPr>
              <w:rFonts w:eastAsiaTheme="minorEastAsia"/>
              <w:lang w:eastAsia="de-DE"/>
            </w:rPr>
          </w:pPr>
          <w:r>
            <w:fldChar w:fldCharType="begin"/>
          </w:r>
          <w:r>
            <w:instrText xml:space="preserve"> HYPERLINK \l "_Toc503778074" </w:instrText>
          </w:r>
          <w:r>
            <w:fldChar w:fldCharType="separate"/>
          </w:r>
          <w:r>
            <w:rPr>
              <w:rStyle w:val="12"/>
              <w:lang w:val="en-US"/>
            </w:rPr>
            <w:t>[1.1]</w:t>
          </w:r>
          <w:r>
            <w:rPr>
              <w:rFonts w:eastAsiaTheme="minorEastAsia"/>
              <w:lang w:eastAsia="de-DE"/>
            </w:rPr>
            <w:tab/>
          </w:r>
          <w:r>
            <w:rPr>
              <w:rStyle w:val="12"/>
              <w:lang w:val="en-US"/>
            </w:rPr>
            <w:t>Introduction/Status</w:t>
          </w:r>
          <w:r>
            <w:tab/>
          </w:r>
          <w:r>
            <w:fldChar w:fldCharType="begin"/>
          </w:r>
          <w:r>
            <w:instrText xml:space="preserve"> PAGEREF _Toc503778074 \h </w:instrText>
          </w:r>
          <w:r>
            <w:fldChar w:fldCharType="separate"/>
          </w:r>
          <w:r>
            <w:t>2</w:t>
          </w:r>
          <w:r>
            <w:fldChar w:fldCharType="end"/>
          </w:r>
          <w:r>
            <w:fldChar w:fldCharType="end"/>
          </w:r>
        </w:p>
        <w:p>
          <w:pPr>
            <w:pStyle w:val="10"/>
            <w:tabs>
              <w:tab w:val="left" w:pos="880"/>
              <w:tab w:val="right" w:leader="dot" w:pos="9346"/>
            </w:tabs>
            <w:rPr>
              <w:rFonts w:eastAsiaTheme="minorEastAsia"/>
              <w:lang w:eastAsia="de-DE"/>
            </w:rPr>
          </w:pPr>
          <w:r>
            <w:fldChar w:fldCharType="begin"/>
          </w:r>
          <w:r>
            <w:instrText xml:space="preserve"> HYPERLINK \l "_Toc503778075" </w:instrText>
          </w:r>
          <w:r>
            <w:fldChar w:fldCharType="separate"/>
          </w:r>
          <w:r>
            <w:rPr>
              <w:rStyle w:val="12"/>
              <w:lang w:val="en-US"/>
            </w:rPr>
            <w:t>[1.2]</w:t>
          </w:r>
          <w:r>
            <w:rPr>
              <w:rFonts w:eastAsiaTheme="minorEastAsia"/>
              <w:lang w:eastAsia="de-DE"/>
            </w:rPr>
            <w:tab/>
          </w:r>
          <w:r>
            <w:rPr>
              <w:rStyle w:val="12"/>
              <w:lang w:val="en-US"/>
            </w:rPr>
            <w:t>Information about the Screen</w:t>
          </w:r>
          <w:r>
            <w:tab/>
          </w:r>
          <w:r>
            <w:fldChar w:fldCharType="begin"/>
          </w:r>
          <w:r>
            <w:instrText xml:space="preserve"> PAGEREF _Toc503778075 \h </w:instrText>
          </w:r>
          <w:r>
            <w:fldChar w:fldCharType="separate"/>
          </w:r>
          <w:r>
            <w:t>2</w:t>
          </w:r>
          <w:r>
            <w:fldChar w:fldCharType="end"/>
          </w:r>
          <w:r>
            <w:fldChar w:fldCharType="end"/>
          </w:r>
        </w:p>
        <w:p>
          <w:pPr>
            <w:pStyle w:val="10"/>
            <w:tabs>
              <w:tab w:val="left" w:pos="880"/>
              <w:tab w:val="right" w:leader="dot" w:pos="9346"/>
            </w:tabs>
            <w:rPr>
              <w:rFonts w:eastAsiaTheme="minorEastAsia"/>
              <w:lang w:eastAsia="de-DE"/>
            </w:rPr>
          </w:pPr>
          <w:r>
            <w:fldChar w:fldCharType="begin"/>
          </w:r>
          <w:r>
            <w:instrText xml:space="preserve"> HYPERLINK \l "_Toc503778076" </w:instrText>
          </w:r>
          <w:r>
            <w:fldChar w:fldCharType="separate"/>
          </w:r>
          <w:r>
            <w:rPr>
              <w:rStyle w:val="12"/>
              <w:lang w:val="en-US"/>
            </w:rPr>
            <w:t>[1.3]</w:t>
          </w:r>
          <w:r>
            <w:rPr>
              <w:rFonts w:eastAsiaTheme="minorEastAsia"/>
              <w:lang w:eastAsia="de-DE"/>
            </w:rPr>
            <w:tab/>
          </w:r>
          <w:r>
            <w:rPr>
              <w:rStyle w:val="12"/>
              <w:lang w:val="en-US"/>
            </w:rPr>
            <w:t>Model system</w:t>
          </w:r>
          <w:r>
            <w:tab/>
          </w:r>
          <w:r>
            <w:fldChar w:fldCharType="begin"/>
          </w:r>
          <w:r>
            <w:instrText xml:space="preserve"> PAGEREF _Toc503778076 \h </w:instrText>
          </w:r>
          <w:r>
            <w:fldChar w:fldCharType="separate"/>
          </w:r>
          <w:r>
            <w:t>3</w:t>
          </w:r>
          <w:r>
            <w:fldChar w:fldCharType="end"/>
          </w:r>
          <w:r>
            <w:fldChar w:fldCharType="end"/>
          </w:r>
        </w:p>
        <w:p>
          <w:pPr>
            <w:pStyle w:val="9"/>
            <w:tabs>
              <w:tab w:val="right" w:leader="dot" w:pos="9346"/>
            </w:tabs>
            <w:rPr>
              <w:rFonts w:eastAsiaTheme="minorEastAsia"/>
              <w:lang w:eastAsia="de-DE"/>
            </w:rPr>
          </w:pPr>
          <w:r>
            <w:fldChar w:fldCharType="begin"/>
          </w:r>
          <w:r>
            <w:instrText xml:space="preserve"> HYPERLINK \l "_Toc503778077" </w:instrText>
          </w:r>
          <w:r>
            <w:fldChar w:fldCharType="separate"/>
          </w:r>
          <w:r>
            <w:rPr>
              <w:rStyle w:val="12"/>
              <w:lang w:val="en-US"/>
            </w:rPr>
            <w:t>[2] Compounds and Results</w:t>
          </w:r>
          <w:r>
            <w:tab/>
          </w:r>
          <w:r>
            <w:fldChar w:fldCharType="begin"/>
          </w:r>
          <w:r>
            <w:instrText xml:space="preserve"> PAGEREF _Toc503778077 \h </w:instrText>
          </w:r>
          <w:r>
            <w:fldChar w:fldCharType="separate"/>
          </w:r>
          <w:r>
            <w:t>4</w:t>
          </w:r>
          <w:r>
            <w:fldChar w:fldCharType="end"/>
          </w:r>
          <w:r>
            <w:fldChar w:fldCharType="end"/>
          </w:r>
        </w:p>
        <w:p>
          <w:pPr>
            <w:pStyle w:val="9"/>
            <w:tabs>
              <w:tab w:val="right" w:leader="dot" w:pos="9346"/>
            </w:tabs>
            <w:rPr>
              <w:rFonts w:eastAsiaTheme="minorEastAsia"/>
              <w:lang w:eastAsia="de-DE"/>
            </w:rPr>
          </w:pPr>
          <w:r>
            <w:fldChar w:fldCharType="begin"/>
          </w:r>
          <w:r>
            <w:instrText xml:space="preserve"> HYPERLINK \l "_Toc503778078" </w:instrText>
          </w:r>
          <w:r>
            <w:fldChar w:fldCharType="separate"/>
          </w:r>
          <w:r>
            <w:rPr>
              <w:rStyle w:val="12"/>
              <w:lang w:val="en-US"/>
            </w:rPr>
            <w:t>[3] Explanation of Results</w:t>
          </w:r>
          <w:r>
            <w:tab/>
          </w:r>
          <w:r>
            <w:fldChar w:fldCharType="begin"/>
          </w:r>
          <w:r>
            <w:instrText xml:space="preserve"> PAGEREF _Toc503778078 \h </w:instrText>
          </w:r>
          <w:r>
            <w:fldChar w:fldCharType="separate"/>
          </w:r>
          <w:r>
            <w:t>8</w:t>
          </w:r>
          <w:r>
            <w:fldChar w:fldCharType="end"/>
          </w:r>
          <w:r>
            <w:fldChar w:fldCharType="end"/>
          </w:r>
        </w:p>
        <w:p>
          <w:pPr>
            <w:rPr>
              <w:sz w:val="24"/>
              <w:szCs w:val="24"/>
              <w:lang w:val="en-US"/>
            </w:rPr>
          </w:pPr>
          <w:r>
            <w:rPr>
              <w:b/>
              <w:bCs/>
              <w:sz w:val="24"/>
              <w:szCs w:val="24"/>
            </w:rPr>
            <w:fldChar w:fldCharType="end"/>
          </w:r>
        </w:p>
      </w:sdtContent>
    </w:sdt>
    <w:p>
      <w:pPr>
        <w:pBdr>
          <w:bottom w:val="single" w:color="auto" w:sz="4" w:space="1"/>
        </w:pBdr>
        <w:spacing w:after="0"/>
        <w:rPr>
          <w:b/>
          <w:sz w:val="24"/>
          <w:szCs w:val="24"/>
          <w:lang w:val="en-US"/>
        </w:rPr>
      </w:pPr>
    </w:p>
    <w:p>
      <w:pPr>
        <w:pBdr>
          <w:bottom w:val="single" w:color="auto" w:sz="4" w:space="1"/>
        </w:pBdr>
        <w:spacing w:after="0"/>
        <w:rPr>
          <w:b/>
          <w:sz w:val="24"/>
          <w:szCs w:val="24"/>
          <w:lang w:val="en-US"/>
        </w:rPr>
      </w:pPr>
    </w:p>
    <w:p>
      <w:pPr>
        <w:pBdr>
          <w:bottom w:val="single" w:color="auto" w:sz="4" w:space="1"/>
        </w:pBdr>
        <w:spacing w:after="0"/>
        <w:rPr>
          <w:b/>
          <w:sz w:val="24"/>
          <w:szCs w:val="24"/>
          <w:lang w:val="en-US"/>
        </w:rPr>
      </w:pPr>
    </w:p>
    <w:p>
      <w:pPr>
        <w:pBdr>
          <w:bottom w:val="single" w:color="auto" w:sz="4" w:space="1"/>
        </w:pBdr>
        <w:spacing w:after="0"/>
        <w:rPr>
          <w:b/>
          <w:sz w:val="24"/>
          <w:szCs w:val="24"/>
          <w:lang w:val="en-US"/>
        </w:rPr>
      </w:pPr>
    </w:p>
    <w:p>
      <w:pPr>
        <w:pBdr>
          <w:bottom w:val="single" w:color="auto" w:sz="4" w:space="1"/>
        </w:pBdr>
        <w:spacing w:after="0"/>
        <w:rPr>
          <w:b/>
          <w:sz w:val="24"/>
          <w:szCs w:val="24"/>
          <w:lang w:val="en-US"/>
        </w:rPr>
      </w:pPr>
    </w:p>
    <w:p>
      <w:pPr>
        <w:pBdr>
          <w:bottom w:val="single" w:color="auto" w:sz="4" w:space="1"/>
        </w:pBdr>
        <w:spacing w:after="0"/>
        <w:rPr>
          <w:b/>
          <w:sz w:val="24"/>
          <w:szCs w:val="24"/>
          <w:lang w:val="en-US"/>
        </w:rPr>
      </w:pPr>
    </w:p>
    <w:p>
      <w:pPr>
        <w:pBdr>
          <w:bottom w:val="single" w:color="auto" w:sz="4" w:space="1"/>
        </w:pBdr>
        <w:spacing w:after="0"/>
        <w:rPr>
          <w:b/>
          <w:sz w:val="24"/>
          <w:szCs w:val="24"/>
          <w:lang w:val="en-US"/>
        </w:rPr>
      </w:pPr>
    </w:p>
    <w:p>
      <w:pPr>
        <w:pStyle w:val="2"/>
        <w:rPr>
          <w:rFonts w:asciiTheme="minorHAnsi" w:hAnsiTheme="minorHAnsi"/>
          <w:sz w:val="24"/>
          <w:szCs w:val="24"/>
          <w:lang w:val="en-US"/>
        </w:rPr>
      </w:pPr>
      <w:r>
        <w:rPr>
          <w:rFonts w:asciiTheme="minorHAnsi" w:hAnsiTheme="minorHAnsi"/>
          <w:sz w:val="24"/>
          <w:szCs w:val="24"/>
          <w:lang w:val="en-US"/>
        </w:rPr>
        <w:t xml:space="preserve"> </w:t>
      </w:r>
      <w:bookmarkStart w:id="0" w:name="_Toc503778073"/>
      <w:r>
        <w:rPr>
          <w:rFonts w:asciiTheme="minorHAnsi" w:hAnsiTheme="minorHAnsi"/>
          <w:sz w:val="24"/>
          <w:szCs w:val="24"/>
          <w:lang w:val="en-US"/>
        </w:rPr>
        <w:t>[1]</w:t>
      </w:r>
      <w:r>
        <w:rPr>
          <w:rFonts w:asciiTheme="minorHAnsi" w:hAnsiTheme="minorHAnsi"/>
          <w:sz w:val="24"/>
          <w:szCs w:val="24"/>
          <w:lang w:val="en-US"/>
        </w:rPr>
        <w:tab/>
      </w:r>
      <w:r>
        <w:rPr>
          <w:rFonts w:asciiTheme="minorHAnsi" w:hAnsiTheme="minorHAnsi"/>
          <w:sz w:val="24"/>
          <w:szCs w:val="24"/>
          <w:lang w:val="en-US"/>
        </w:rPr>
        <w:t>Preliminary Information</w:t>
      </w:r>
      <w:bookmarkEnd w:id="0"/>
    </w:p>
    <w:p>
      <w:pPr>
        <w:pStyle w:val="16"/>
        <w:ind w:left="0"/>
        <w:rPr>
          <w:sz w:val="24"/>
          <w:szCs w:val="24"/>
          <w:lang w:val="en-US"/>
        </w:rPr>
      </w:pPr>
      <w:bookmarkStart w:id="1" w:name="_Toc503778074"/>
      <w:r>
        <w:rPr>
          <w:rStyle w:val="22"/>
          <w:rFonts w:asciiTheme="minorHAnsi" w:hAnsiTheme="minorHAnsi"/>
          <w:sz w:val="24"/>
          <w:szCs w:val="24"/>
          <w:lang w:val="en-US"/>
        </w:rPr>
        <w:t>[1.1]</w:t>
      </w:r>
      <w:r>
        <w:rPr>
          <w:rStyle w:val="22"/>
          <w:rFonts w:asciiTheme="minorHAnsi" w:hAnsiTheme="minorHAnsi"/>
          <w:sz w:val="24"/>
          <w:szCs w:val="24"/>
          <w:lang w:val="en-US"/>
        </w:rPr>
        <w:tab/>
      </w:r>
      <w:r>
        <w:rPr>
          <w:rStyle w:val="22"/>
          <w:rFonts w:asciiTheme="minorHAnsi" w:hAnsiTheme="minorHAnsi"/>
          <w:sz w:val="24"/>
          <w:szCs w:val="24"/>
          <w:lang w:val="en-US"/>
        </w:rPr>
        <w:t>Introduction/Status</w:t>
      </w:r>
      <w:bookmarkEnd w:id="1"/>
      <w:r>
        <w:rPr>
          <w:sz w:val="24"/>
          <w:szCs w:val="24"/>
          <w:lang w:val="en-US"/>
        </w:rPr>
        <w:t xml:space="preserve"> </w:t>
      </w:r>
    </w:p>
    <w:p>
      <w:pPr>
        <w:pStyle w:val="16"/>
        <w:tabs>
          <w:tab w:val="left" w:pos="3533"/>
        </w:tabs>
        <w:ind w:left="0"/>
        <w:jc w:val="both"/>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ab/>
      </w:r>
    </w:p>
    <w:p>
      <w:pPr>
        <w:pStyle w:val="16"/>
        <w:ind w:left="0"/>
        <w:jc w:val="both"/>
        <w:rPr>
          <w:sz w:val="24"/>
          <w:szCs w:val="24"/>
          <w:lang w:val="en-US"/>
        </w:rPr>
      </w:pPr>
      <w:r>
        <w:rPr>
          <w:sz w:val="24"/>
          <w:szCs w:val="24"/>
          <w:lang w:val="en-US"/>
        </w:rPr>
        <w:t xml:space="preserve">All of your compounds are routinely screened for antimicrobial activity by our cooperation partner in Australia, the “Community for Open Antimicrobial Drug Discovery (CO-ADD)”. Here, compounds are tested against seven key pathogens for antimicrobial activity. </w:t>
      </w:r>
    </w:p>
    <w:p>
      <w:pPr>
        <w:pStyle w:val="16"/>
        <w:ind w:left="0"/>
        <w:jc w:val="both"/>
        <w:rPr>
          <w:sz w:val="24"/>
          <w:szCs w:val="24"/>
          <w:lang w:val="en-US"/>
        </w:rPr>
      </w:pPr>
      <w:r>
        <w:rPr>
          <w:sz w:val="24"/>
          <w:szCs w:val="24"/>
          <w:lang w:val="en-US"/>
        </w:rPr>
        <w:t xml:space="preserve">Amongst the 13 tested compounds, one compound, namely </w:t>
      </w:r>
      <w:r>
        <w:rPr>
          <w:b/>
          <w:sz w:val="24"/>
          <w:szCs w:val="24"/>
          <w:lang w:val="en-US"/>
        </w:rPr>
        <w:t>X5247</w:t>
      </w:r>
      <w:r>
        <w:rPr>
          <w:sz w:val="24"/>
          <w:szCs w:val="24"/>
          <w:lang w:val="en-US"/>
        </w:rPr>
        <w:t xml:space="preserve">, showed activity against Gram-positive bacterium </w:t>
      </w:r>
      <w:r>
        <w:rPr>
          <w:i/>
          <w:sz w:val="24"/>
          <w:szCs w:val="24"/>
          <w:lang w:val="en-US"/>
        </w:rPr>
        <w:t>Staphylococcus aureus</w:t>
      </w:r>
      <w:r>
        <w:rPr>
          <w:sz w:val="24"/>
          <w:szCs w:val="24"/>
          <w:lang w:val="en-US"/>
        </w:rPr>
        <w:t xml:space="preserve"> in the primary screening. However, this compound was also found to be toxic. </w:t>
      </w:r>
    </w:p>
    <w:p>
      <w:pPr>
        <w:pStyle w:val="16"/>
        <w:ind w:left="0"/>
        <w:jc w:val="both"/>
        <w:rPr>
          <w:sz w:val="24"/>
          <w:szCs w:val="24"/>
          <w:lang w:val="en-US"/>
        </w:rPr>
      </w:pPr>
    </w:p>
    <w:p>
      <w:pPr>
        <w:pStyle w:val="3"/>
        <w:rPr>
          <w:rFonts w:asciiTheme="minorHAnsi" w:hAnsiTheme="minorHAnsi"/>
          <w:sz w:val="24"/>
          <w:szCs w:val="24"/>
          <w:lang w:val="en-US"/>
        </w:rPr>
      </w:pPr>
      <w:bookmarkStart w:id="2" w:name="_Toc503778075"/>
      <w:r>
        <w:rPr>
          <w:rFonts w:asciiTheme="minorHAnsi" w:hAnsiTheme="minorHAnsi"/>
          <w:sz w:val="24"/>
          <w:szCs w:val="24"/>
          <w:lang w:val="en-US"/>
        </w:rPr>
        <w:t>[1.2]</w:t>
      </w:r>
      <w:r>
        <w:rPr>
          <w:rFonts w:asciiTheme="minorHAnsi" w:hAnsiTheme="minorHAnsi"/>
          <w:sz w:val="24"/>
          <w:szCs w:val="24"/>
          <w:lang w:val="en-US"/>
        </w:rPr>
        <w:tab/>
      </w:r>
      <w:r>
        <w:rPr>
          <w:rFonts w:asciiTheme="minorHAnsi" w:hAnsiTheme="minorHAnsi"/>
          <w:sz w:val="24"/>
          <w:szCs w:val="24"/>
          <w:lang w:val="en-US"/>
        </w:rPr>
        <w:t>Information about the Screen</w:t>
      </w:r>
      <w:bookmarkEnd w:id="2"/>
      <w:r>
        <w:rPr>
          <w:rFonts w:asciiTheme="minorHAnsi" w:hAnsiTheme="minorHAnsi"/>
          <w:sz w:val="24"/>
          <w:szCs w:val="24"/>
          <w:lang w:val="en-US"/>
        </w:rPr>
        <w:t xml:space="preserve"> </w:t>
      </w:r>
    </w:p>
    <w:p>
      <w:pPr>
        <w:pStyle w:val="16"/>
        <w:ind w:left="0"/>
        <w:jc w:val="both"/>
        <w:rPr>
          <w:sz w:val="24"/>
          <w:szCs w:val="24"/>
          <w:lang w:val="en-US"/>
        </w:rPr>
      </w:pPr>
    </w:p>
    <w:p>
      <w:pPr>
        <w:pStyle w:val="16"/>
        <w:ind w:left="0"/>
        <w:jc w:val="both"/>
        <w:rPr>
          <w:sz w:val="24"/>
          <w:szCs w:val="24"/>
          <w:lang w:val="en-US"/>
        </w:rPr>
      </w:pPr>
      <w:r>
        <w:rPr>
          <w:sz w:val="24"/>
          <w:szCs w:val="24"/>
          <w:lang w:val="en-US"/>
        </w:rPr>
        <w:t xml:space="preserve">For antimicrobial activity screenings, the compounds are screened in cooperation with the Community for Open Antimicrobial Drug Discovery (CO-ADD) in Brisbane, Australia. Therefore, seven different microorganisms are used as a basis for an experiment-based selection of attractive model systems for the development of new antimicrobials. These microorganisms include different so-called ‘ESKAPE’ pathogens, which are responsible for two-thirds of all hospital acquired infections. These pathogens are the Gram-negative bacteria </w:t>
      </w:r>
      <w:r>
        <w:rPr>
          <w:i/>
          <w:sz w:val="24"/>
          <w:szCs w:val="24"/>
          <w:lang w:val="en-US"/>
        </w:rPr>
        <w:t>Escherichia coli</w:t>
      </w:r>
      <w:r>
        <w:rPr>
          <w:sz w:val="24"/>
          <w:szCs w:val="24"/>
          <w:lang w:val="en-US"/>
        </w:rPr>
        <w:t xml:space="preserve">, </w:t>
      </w:r>
      <w:r>
        <w:rPr>
          <w:i/>
          <w:sz w:val="24"/>
          <w:szCs w:val="24"/>
          <w:lang w:val="en-US"/>
        </w:rPr>
        <w:t>Pseudomonas aeruginosa</w:t>
      </w:r>
      <w:r>
        <w:rPr>
          <w:sz w:val="24"/>
          <w:szCs w:val="24"/>
          <w:lang w:val="en-US"/>
        </w:rPr>
        <w:t xml:space="preserve">, </w:t>
      </w:r>
      <w:r>
        <w:rPr>
          <w:i/>
          <w:sz w:val="24"/>
          <w:szCs w:val="24"/>
          <w:lang w:val="en-US"/>
        </w:rPr>
        <w:t>Klebsiella pneumoniae</w:t>
      </w:r>
      <w:r>
        <w:rPr>
          <w:sz w:val="24"/>
          <w:szCs w:val="24"/>
          <w:lang w:val="en-US"/>
        </w:rPr>
        <w:t xml:space="preserve">, and </w:t>
      </w:r>
      <w:r>
        <w:rPr>
          <w:i/>
          <w:sz w:val="24"/>
          <w:szCs w:val="24"/>
          <w:lang w:val="en-US"/>
        </w:rPr>
        <w:t xml:space="preserve">Acinetobacter baumannii. </w:t>
      </w:r>
      <w:r>
        <w:rPr>
          <w:sz w:val="24"/>
          <w:szCs w:val="24"/>
          <w:lang w:val="en-US"/>
        </w:rPr>
        <w:t>Furthermore, the</w:t>
      </w:r>
      <w:r>
        <w:rPr>
          <w:i/>
          <w:sz w:val="24"/>
          <w:szCs w:val="24"/>
          <w:lang w:val="en-US"/>
        </w:rPr>
        <w:t xml:space="preserve"> </w:t>
      </w:r>
      <w:r>
        <w:rPr>
          <w:sz w:val="24"/>
          <w:szCs w:val="24"/>
          <w:lang w:val="en-US"/>
        </w:rPr>
        <w:t xml:space="preserve">Gram-positive multi-resistant </w:t>
      </w:r>
      <w:r>
        <w:rPr>
          <w:i/>
          <w:sz w:val="24"/>
          <w:szCs w:val="24"/>
          <w:lang w:val="en-US"/>
        </w:rPr>
        <w:t>Staphylococcus aureus</w:t>
      </w:r>
      <w:r>
        <w:rPr>
          <w:sz w:val="24"/>
          <w:szCs w:val="24"/>
          <w:lang w:val="en-US"/>
        </w:rPr>
        <w:t xml:space="preserve"> (MRSA) and the yeasts </w:t>
      </w:r>
      <w:r>
        <w:rPr>
          <w:i/>
          <w:sz w:val="24"/>
          <w:szCs w:val="24"/>
          <w:lang w:val="en-US"/>
        </w:rPr>
        <w:t>Cryptococcus neoformans</w:t>
      </w:r>
      <w:r>
        <w:rPr>
          <w:sz w:val="24"/>
          <w:szCs w:val="24"/>
          <w:lang w:val="en-US"/>
        </w:rPr>
        <w:t xml:space="preserve"> and </w:t>
      </w:r>
      <w:r>
        <w:rPr>
          <w:i/>
          <w:sz w:val="24"/>
          <w:szCs w:val="24"/>
          <w:lang w:val="en-US"/>
        </w:rPr>
        <w:t xml:space="preserve">Candida albicans </w:t>
      </w:r>
      <w:r>
        <w:rPr>
          <w:sz w:val="24"/>
          <w:szCs w:val="24"/>
          <w:lang w:val="en-US"/>
        </w:rPr>
        <w:t>are being tested</w:t>
      </w:r>
      <w:r>
        <w:rPr>
          <w:i/>
          <w:sz w:val="24"/>
          <w:szCs w:val="24"/>
          <w:lang w:val="en-US"/>
        </w:rPr>
        <w:t>.</w:t>
      </w:r>
      <w:r>
        <w:rPr>
          <w:sz w:val="24"/>
          <w:szCs w:val="24"/>
          <w:lang w:val="en-US"/>
        </w:rPr>
        <w:t xml:space="preserve"> </w:t>
      </w:r>
    </w:p>
    <w:p>
      <w:pPr>
        <w:pStyle w:val="16"/>
        <w:ind w:left="0"/>
        <w:jc w:val="both"/>
        <w:rPr>
          <w:sz w:val="24"/>
          <w:szCs w:val="24"/>
          <w:lang w:val="en-US"/>
        </w:rPr>
      </w:pPr>
    </w:p>
    <w:p>
      <w:pPr>
        <w:pStyle w:val="16"/>
        <w:ind w:left="0"/>
        <w:jc w:val="both"/>
        <w:rPr>
          <w:sz w:val="24"/>
          <w:szCs w:val="24"/>
          <w:lang w:val="en-US"/>
        </w:rPr>
      </w:pPr>
      <w:r>
        <w:rPr>
          <w:sz w:val="24"/>
          <w:szCs w:val="24"/>
          <w:lang w:val="en-US"/>
        </w:rPr>
        <w:t xml:space="preserve">During primary screenings, the compounds are tested at a single concentration, namely 32 µM. Compounds are considered active in the primary screening process when the inhibition of bacterial growth is 80% or higher. Inactive compounds showed inhibition values below 50% and are not further tested (n.t.) for toxic activity.  </w:t>
      </w:r>
    </w:p>
    <w:p>
      <w:pPr>
        <w:pStyle w:val="16"/>
        <w:ind w:left="0"/>
        <w:jc w:val="both"/>
        <w:rPr>
          <w:sz w:val="24"/>
          <w:szCs w:val="24"/>
          <w:lang w:val="en-US"/>
        </w:rPr>
      </w:pPr>
    </w:p>
    <w:p>
      <w:pPr>
        <w:pStyle w:val="16"/>
        <w:ind w:left="0"/>
        <w:jc w:val="both"/>
        <w:rPr>
          <w:sz w:val="24"/>
          <w:szCs w:val="24"/>
          <w:lang w:val="en-US"/>
        </w:rPr>
      </w:pPr>
      <w:r>
        <w:rPr>
          <w:sz w:val="24"/>
          <w:szCs w:val="24"/>
          <w:lang w:val="en-US"/>
        </w:rPr>
        <w:t xml:space="preserve">All active compounds are then tested during hit confirmation, where the lowest concentration at which inhibition of bacterial growth occurs, the so-called minimal inhibitory concentration (MIC), is determined. In parallel, cytotoxicity against human HEK293 cells and haemolytic activity against human red blood cells are evaluated to exclude toxic effects of the compounds. Compounds are declared as a hit in the secondary screening process when the MIC is less or equal 10µM (16 µg/mL). </w:t>
      </w:r>
    </w:p>
    <w:p>
      <w:pPr>
        <w:pStyle w:val="16"/>
        <w:ind w:left="0"/>
        <w:jc w:val="both"/>
        <w:rPr>
          <w:sz w:val="24"/>
          <w:szCs w:val="24"/>
          <w:lang w:val="en-US"/>
        </w:rPr>
      </w:pPr>
      <w:r>
        <w:rPr>
          <w:sz w:val="24"/>
          <w:szCs w:val="24"/>
          <w:lang w:val="en-US"/>
        </w:rPr>
        <w:t>For toxicity, compounds with a CC</w:t>
      </w:r>
      <w:r>
        <w:rPr>
          <w:sz w:val="24"/>
          <w:szCs w:val="24"/>
          <w:vertAlign w:val="subscript"/>
          <w:lang w:val="en-US"/>
        </w:rPr>
        <w:t>50</w:t>
      </w:r>
      <w:r>
        <w:rPr>
          <w:sz w:val="24"/>
          <w:szCs w:val="24"/>
          <w:lang w:val="en-US"/>
        </w:rPr>
        <w:t>/HC</w:t>
      </w:r>
      <w:r>
        <w:rPr>
          <w:sz w:val="24"/>
          <w:szCs w:val="24"/>
          <w:vertAlign w:val="subscript"/>
          <w:lang w:val="en-US"/>
        </w:rPr>
        <w:t>10</w:t>
      </w:r>
      <w:r>
        <w:rPr>
          <w:sz w:val="24"/>
          <w:szCs w:val="24"/>
          <w:lang w:val="en-US"/>
        </w:rPr>
        <w:t xml:space="preserve"> (concentration at 50% cytotoxicity/ concentration of 10% haemolytic activity) of 20µM or lower are considered active or toxic respectively. A therapeutic index cannot be calculated since the maximum tested concentration is the same for toxicity and antimicrobial activity. Hence, all samples with toxic activity are sorted out. </w:t>
      </w:r>
    </w:p>
    <w:p>
      <w:pPr>
        <w:pStyle w:val="16"/>
        <w:ind w:left="0"/>
        <w:jc w:val="both"/>
        <w:rPr>
          <w:sz w:val="28"/>
          <w:szCs w:val="28"/>
          <w:lang w:val="en-US"/>
        </w:rPr>
      </w:pPr>
    </w:p>
    <w:p>
      <w:pPr>
        <w:pStyle w:val="16"/>
        <w:ind w:left="0"/>
        <w:jc w:val="both"/>
        <w:rPr>
          <w:sz w:val="28"/>
          <w:szCs w:val="28"/>
          <w:lang w:val="en-US"/>
        </w:rPr>
      </w:pPr>
    </w:p>
    <w:p>
      <w:pPr>
        <w:pStyle w:val="3"/>
        <w:rPr>
          <w:rFonts w:asciiTheme="minorHAnsi" w:hAnsiTheme="minorHAnsi"/>
          <w:sz w:val="24"/>
          <w:szCs w:val="24"/>
          <w:lang w:val="en-US"/>
        </w:rPr>
      </w:pPr>
      <w:bookmarkStart w:id="3" w:name="_Toc503778076"/>
      <w:r>
        <w:rPr>
          <w:rFonts w:asciiTheme="minorHAnsi" w:hAnsiTheme="minorHAnsi"/>
          <w:sz w:val="24"/>
          <w:szCs w:val="24"/>
          <w:lang w:val="en-US"/>
        </w:rPr>
        <w:t>[1.3]</w:t>
      </w:r>
      <w:r>
        <w:rPr>
          <w:rFonts w:asciiTheme="minorHAnsi" w:hAnsiTheme="minorHAnsi"/>
          <w:sz w:val="24"/>
          <w:szCs w:val="24"/>
          <w:lang w:val="en-US"/>
        </w:rPr>
        <w:tab/>
      </w:r>
      <w:r>
        <w:rPr>
          <w:rFonts w:asciiTheme="minorHAnsi" w:hAnsiTheme="minorHAnsi"/>
          <w:sz w:val="24"/>
          <w:szCs w:val="24"/>
          <w:lang w:val="en-US"/>
        </w:rPr>
        <w:t>Model system</w:t>
      </w:r>
      <w:bookmarkEnd w:id="3"/>
      <w:r>
        <w:rPr>
          <w:rFonts w:asciiTheme="minorHAnsi" w:hAnsiTheme="minorHAnsi"/>
          <w:sz w:val="24"/>
          <w:szCs w:val="24"/>
          <w:lang w:val="en-US"/>
        </w:rPr>
        <w:t xml:space="preserve"> </w:t>
      </w:r>
    </w:p>
    <w:p>
      <w:pPr>
        <w:rPr>
          <w:sz w:val="24"/>
          <w:szCs w:val="24"/>
          <w:u w:val="single"/>
          <w:lang w:val="en-US"/>
        </w:rPr>
      </w:pPr>
    </w:p>
    <w:p>
      <w:pPr>
        <w:rPr>
          <w:i/>
          <w:sz w:val="24"/>
          <w:szCs w:val="24"/>
          <w:lang w:val="en-US"/>
        </w:rPr>
      </w:pPr>
      <w:r>
        <w:rPr>
          <w:sz w:val="24"/>
          <w:szCs w:val="24"/>
          <w:u w:val="single"/>
          <w:lang w:val="en-US"/>
        </w:rPr>
        <w:t>Gram-negative bacteria:</w:t>
      </w:r>
      <w:r>
        <w:rPr>
          <w:sz w:val="24"/>
          <w:szCs w:val="24"/>
          <w:lang w:val="en-US"/>
        </w:rPr>
        <w:t xml:space="preserve"> </w:t>
      </w:r>
      <w:r>
        <w:rPr>
          <w:i/>
          <w:sz w:val="24"/>
          <w:szCs w:val="24"/>
          <w:lang w:val="en-US"/>
        </w:rPr>
        <w:t>Escherichia coli, Klebsiella pneumoniae, Pseudomonas aeruginosa, Acinetobacter baumannii</w:t>
      </w:r>
    </w:p>
    <w:p>
      <w:pPr>
        <w:rPr>
          <w:sz w:val="24"/>
          <w:szCs w:val="24"/>
          <w:lang w:val="en-US"/>
        </w:rPr>
      </w:pPr>
      <w:r>
        <w:rPr>
          <w:sz w:val="24"/>
          <w:szCs w:val="24"/>
          <w:u w:val="single"/>
          <w:lang w:val="en-US"/>
        </w:rPr>
        <w:t>Gram-positive bacterium</w:t>
      </w:r>
      <w:r>
        <w:rPr>
          <w:sz w:val="24"/>
          <w:szCs w:val="24"/>
          <w:lang w:val="en-US"/>
        </w:rPr>
        <w:t xml:space="preserve">: </w:t>
      </w:r>
      <w:r>
        <w:rPr>
          <w:i/>
          <w:sz w:val="24"/>
          <w:szCs w:val="24"/>
          <w:lang w:val="en-US"/>
        </w:rPr>
        <w:t>Staphylococcus aureus</w:t>
      </w:r>
    </w:p>
    <w:p>
      <w:pPr>
        <w:pStyle w:val="16"/>
        <w:ind w:left="0"/>
        <w:rPr>
          <w:i/>
          <w:sz w:val="24"/>
          <w:szCs w:val="24"/>
          <w:lang w:val="en-US"/>
        </w:rPr>
      </w:pPr>
      <w:r>
        <w:rPr>
          <w:sz w:val="24"/>
          <w:szCs w:val="24"/>
          <w:u w:val="single"/>
          <w:lang w:val="en-US"/>
        </w:rPr>
        <w:t>Fungi</w:t>
      </w:r>
      <w:r>
        <w:rPr>
          <w:sz w:val="24"/>
          <w:szCs w:val="24"/>
          <w:lang w:val="en-US"/>
        </w:rPr>
        <w:t xml:space="preserve">: </w:t>
      </w:r>
      <w:r>
        <w:rPr>
          <w:i/>
          <w:sz w:val="24"/>
          <w:szCs w:val="24"/>
          <w:lang w:val="en-US"/>
        </w:rPr>
        <w:t>Candida albicans, Cryptococcus neoformans</w:t>
      </w:r>
    </w:p>
    <w:p>
      <w:pPr>
        <w:pStyle w:val="16"/>
        <w:ind w:left="0"/>
        <w:rPr>
          <w:i/>
          <w:sz w:val="24"/>
          <w:szCs w:val="24"/>
          <w:lang w:val="en-US"/>
        </w:rPr>
      </w:pPr>
    </w:p>
    <w:p>
      <w:pPr>
        <w:pStyle w:val="16"/>
        <w:ind w:left="0"/>
        <w:rPr>
          <w:i/>
          <w:sz w:val="24"/>
          <w:szCs w:val="24"/>
          <w:lang w:val="en-US"/>
        </w:rPr>
      </w:pPr>
    </w:p>
    <w:p>
      <w:pPr>
        <w:pStyle w:val="16"/>
        <w:ind w:left="0"/>
        <w:rPr>
          <w:i/>
          <w:sz w:val="24"/>
          <w:szCs w:val="24"/>
          <w:lang w:val="en-US"/>
        </w:rPr>
        <w:sectPr>
          <w:headerReference r:id="rId3" w:type="default"/>
          <w:footerReference r:id="rId4" w:type="default"/>
          <w:pgSz w:w="11906" w:h="16838"/>
          <w:pgMar w:top="1417" w:right="1274" w:bottom="1134" w:left="1276" w:header="708" w:footer="708" w:gutter="0"/>
          <w:cols w:space="708" w:num="1"/>
          <w:docGrid w:linePitch="360" w:charSpace="0"/>
        </w:sectPr>
      </w:pPr>
    </w:p>
    <w:p>
      <w:pPr>
        <w:pStyle w:val="2"/>
        <w:rPr>
          <w:rFonts w:asciiTheme="minorHAnsi" w:hAnsiTheme="minorHAnsi"/>
          <w:sz w:val="24"/>
          <w:szCs w:val="24"/>
          <w:lang w:val="en-US"/>
        </w:rPr>
      </w:pPr>
      <w:r>
        <w:rPr>
          <w:rFonts w:asciiTheme="minorHAnsi" w:hAnsiTheme="minorHAnsi"/>
          <w:color w:val="1F497D" w:themeColor="text2"/>
          <w:sz w:val="24"/>
          <w:szCs w:val="24"/>
          <w:lang w:val="en-US"/>
          <w14:textFill>
            <w14:solidFill>
              <w14:schemeClr w14:val="tx2"/>
            </w14:solidFill>
          </w14:textFill>
        </w:rPr>
        <w:t xml:space="preserve"> </w:t>
      </w:r>
      <w:bookmarkStart w:id="4" w:name="_Toc503778077"/>
      <w:r>
        <w:rPr>
          <w:rFonts w:asciiTheme="minorHAnsi" w:hAnsiTheme="minorHAnsi"/>
          <w:color w:val="1F497D" w:themeColor="text2"/>
          <w:sz w:val="24"/>
          <w:szCs w:val="24"/>
          <w:lang w:val="en-US"/>
          <w14:textFill>
            <w14:solidFill>
              <w14:schemeClr w14:val="tx2"/>
            </w14:solidFill>
          </w14:textFill>
        </w:rPr>
        <w:t xml:space="preserve">[2] </w:t>
      </w:r>
      <w:r>
        <w:rPr>
          <w:rFonts w:asciiTheme="minorHAnsi" w:hAnsiTheme="minorHAnsi"/>
          <w:sz w:val="24"/>
          <w:szCs w:val="24"/>
          <w:lang w:val="en-US"/>
        </w:rPr>
        <w:t>Compounds and Results</w:t>
      </w:r>
      <w:bookmarkEnd w:id="4"/>
    </w:p>
    <w:p>
      <w:pPr>
        <w:tabs>
          <w:tab w:val="left" w:pos="3402"/>
          <w:tab w:val="left" w:pos="4536"/>
        </w:tabs>
        <w:contextualSpacing/>
        <w:jc w:val="both"/>
        <w:rPr>
          <w:b/>
          <w:i/>
          <w:szCs w:val="24"/>
          <w:lang w:val="en-US"/>
        </w:rPr>
      </w:pPr>
    </w:p>
    <w:p>
      <w:pPr>
        <w:tabs>
          <w:tab w:val="left" w:pos="3402"/>
          <w:tab w:val="left" w:pos="4536"/>
        </w:tabs>
        <w:contextualSpacing/>
        <w:jc w:val="both"/>
        <w:rPr>
          <w:szCs w:val="24"/>
          <w:lang w:val="en-US"/>
        </w:rPr>
      </w:pPr>
      <w:r>
        <w:rPr>
          <w:b/>
          <w:i/>
          <w:szCs w:val="24"/>
          <w:lang w:val="en-US"/>
        </w:rPr>
        <w:t xml:space="preserve">Table 1. </w:t>
      </w:r>
      <w:r>
        <w:rPr>
          <w:szCs w:val="24"/>
          <w:lang w:val="en-US"/>
        </w:rPr>
        <w:t>Antimicrobial and toxic activity</w:t>
      </w:r>
    </w:p>
    <w:p>
      <w:pPr>
        <w:shd w:val="clear" w:color="auto" w:fill="FFFFFF" w:themeFill="background1"/>
        <w:tabs>
          <w:tab w:val="left" w:pos="709"/>
          <w:tab w:val="left" w:pos="4536"/>
        </w:tabs>
        <w:contextualSpacing/>
        <w:rPr>
          <w:b/>
          <w:sz w:val="24"/>
          <w:szCs w:val="24"/>
          <w:lang w:val="en-US"/>
        </w:rPr>
      </w:pPr>
    </w:p>
    <w:tbl>
      <w:tblPr>
        <w:tblStyle w:val="13"/>
        <w:tblW w:w="14170" w:type="dxa"/>
        <w:tblInd w:w="5" w:type="dxa"/>
        <w:tblLayout w:type="fixed"/>
        <w:tblCellMar>
          <w:top w:w="0" w:type="dxa"/>
          <w:left w:w="70" w:type="dxa"/>
          <w:bottom w:w="0" w:type="dxa"/>
          <w:right w:w="70" w:type="dxa"/>
        </w:tblCellMar>
      </w:tblPr>
      <w:tblGrid>
        <w:gridCol w:w="1191"/>
        <w:gridCol w:w="3685"/>
        <w:gridCol w:w="978"/>
        <w:gridCol w:w="978"/>
        <w:gridCol w:w="978"/>
        <w:gridCol w:w="978"/>
        <w:gridCol w:w="988"/>
        <w:gridCol w:w="984"/>
        <w:gridCol w:w="1001"/>
        <w:gridCol w:w="1198"/>
        <w:gridCol w:w="1211"/>
      </w:tblGrid>
      <w:tr>
        <w:tblPrEx>
          <w:tblLayout w:type="fixed"/>
          <w:tblCellMar>
            <w:top w:w="0" w:type="dxa"/>
            <w:left w:w="70" w:type="dxa"/>
            <w:bottom w:w="0" w:type="dxa"/>
            <w:right w:w="70" w:type="dxa"/>
          </w:tblCellMar>
        </w:tblPrEx>
        <w:trPr>
          <w:trHeight w:val="1048" w:hRule="atLeast"/>
        </w:trPr>
        <w:tc>
          <w:tcPr>
            <w:tcW w:w="4876" w:type="dxa"/>
            <w:gridSpan w:val="2"/>
            <w:vMerge w:val="restart"/>
            <w:tcBorders>
              <w:top w:val="nil"/>
              <w:right w:val="single" w:color="auto" w:sz="4" w:space="0"/>
            </w:tcBorders>
            <w:shd w:val="clear" w:color="auto" w:fill="auto"/>
            <w:vAlign w:val="bottom"/>
          </w:tcPr>
          <w:p>
            <w:pPr>
              <w:spacing w:after="0" w:line="240" w:lineRule="auto"/>
              <w:rPr>
                <w:rFonts w:ascii="Calibri" w:hAnsi="Calibri" w:eastAsia="Times New Roman" w:cs="Times New Roman"/>
                <w:b/>
                <w:bCs/>
                <w:color w:val="000000"/>
                <w:lang w:val="en-US" w:eastAsia="de-DE"/>
              </w:rPr>
            </w:pPr>
          </w:p>
        </w:tc>
        <w:tc>
          <w:tcPr>
            <w:tcW w:w="6885" w:type="dxa"/>
            <w:gridSpan w:val="7"/>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iCs/>
                <w:color w:val="000000"/>
                <w:sz w:val="20"/>
                <w:szCs w:val="20"/>
                <w:lang w:val="en-US" w:eastAsia="de-DE"/>
              </w:rPr>
            </w:pPr>
            <w:r>
              <w:rPr>
                <w:rFonts w:ascii="Calibri" w:hAnsi="Calibri" w:eastAsia="Times New Roman" w:cs="Times New Roman"/>
                <w:b/>
                <w:bCs/>
                <w:iCs/>
                <w:color w:val="000000"/>
                <w:sz w:val="20"/>
                <w:szCs w:val="20"/>
                <w:lang w:val="en-US" w:eastAsia="de-DE"/>
              </w:rPr>
              <w:t xml:space="preserve">Antimicrobial activity </w:t>
            </w:r>
          </w:p>
          <w:p>
            <w:pPr>
              <w:spacing w:after="0" w:line="240" w:lineRule="auto"/>
              <w:jc w:val="center"/>
              <w:rPr>
                <w:rFonts w:ascii="Calibri" w:hAnsi="Calibri" w:eastAsia="Times New Roman" w:cs="Times New Roman"/>
                <w:b/>
                <w:bCs/>
                <w:iCs/>
                <w:color w:val="000000"/>
                <w:sz w:val="20"/>
                <w:szCs w:val="20"/>
                <w:lang w:val="en-US" w:eastAsia="de-DE"/>
              </w:rPr>
            </w:pPr>
            <w:r>
              <w:rPr>
                <w:rFonts w:ascii="Calibri" w:hAnsi="Calibri" w:eastAsia="Times New Roman" w:cs="Times New Roman"/>
                <w:b/>
                <w:bCs/>
                <w:iCs/>
                <w:color w:val="000000"/>
                <w:sz w:val="20"/>
                <w:szCs w:val="20"/>
                <w:lang w:val="en-US" w:eastAsia="de-DE"/>
              </w:rPr>
              <w:t>Primary Screening (PS): Maximum Inhibition [%]</w:t>
            </w:r>
          </w:p>
          <w:p>
            <w:pPr>
              <w:spacing w:after="0" w:line="240" w:lineRule="auto"/>
              <w:jc w:val="center"/>
              <w:rPr>
                <w:rFonts w:ascii="Calibri" w:hAnsi="Calibri" w:eastAsia="Times New Roman" w:cs="Times New Roman"/>
                <w:b/>
                <w:bCs/>
                <w:iCs/>
                <w:color w:val="000000"/>
                <w:sz w:val="20"/>
                <w:szCs w:val="20"/>
                <w:lang w:val="en-US" w:eastAsia="de-DE"/>
              </w:rPr>
            </w:pPr>
          </w:p>
          <w:p>
            <w:pPr>
              <w:spacing w:after="0" w:line="240" w:lineRule="auto"/>
              <w:jc w:val="center"/>
              <w:rPr>
                <w:rFonts w:ascii="Calibri" w:hAnsi="Calibri" w:eastAsia="Times New Roman" w:cs="Times New Roman"/>
                <w:b/>
                <w:bCs/>
                <w:i/>
                <w:iCs/>
                <w:color w:val="000000"/>
                <w:sz w:val="20"/>
                <w:szCs w:val="20"/>
                <w:lang w:val="en-US" w:eastAsia="de-DE"/>
              </w:rPr>
            </w:pPr>
            <w:r>
              <w:rPr>
                <w:rFonts w:ascii="Calibri" w:hAnsi="Calibri" w:eastAsia="Times New Roman" w:cs="Times New Roman"/>
                <w:b/>
                <w:bCs/>
                <w:iCs/>
                <w:color w:val="000000"/>
                <w:sz w:val="20"/>
                <w:szCs w:val="20"/>
                <w:lang w:val="en-US" w:eastAsia="de-DE"/>
              </w:rPr>
              <w:t xml:space="preserve">Hit Confirmation (HC): Minimal inhibitory concentration </w:t>
            </w:r>
            <w:r>
              <w:rPr>
                <w:rFonts w:ascii="Calibri" w:hAnsi="Calibri" w:eastAsia="Times New Roman" w:cs="Times New Roman"/>
                <w:b/>
                <w:bCs/>
                <w:i/>
                <w:iCs/>
                <w:color w:val="000000"/>
                <w:sz w:val="20"/>
                <w:szCs w:val="20"/>
                <w:lang w:val="en-US" w:eastAsia="de-DE"/>
              </w:rPr>
              <w:t>MIC</w:t>
            </w:r>
            <w:r>
              <w:rPr>
                <w:rFonts w:ascii="Calibri" w:hAnsi="Calibri" w:eastAsia="Times New Roman" w:cs="Times New Roman"/>
                <w:b/>
                <w:bCs/>
                <w:iCs/>
                <w:color w:val="000000"/>
                <w:sz w:val="20"/>
                <w:szCs w:val="20"/>
                <w:lang w:val="en-US" w:eastAsia="de-DE"/>
              </w:rPr>
              <w:t xml:space="preserve"> [µM]</w:t>
            </w:r>
          </w:p>
        </w:tc>
        <w:tc>
          <w:tcPr>
            <w:tcW w:w="2409" w:type="dxa"/>
            <w:gridSpan w:val="2"/>
            <w:vMerge w:val="restart"/>
            <w:tcBorders>
              <w:top w:val="nil"/>
              <w:left w:val="nil"/>
            </w:tcBorders>
            <w:shd w:val="clear" w:color="auto" w:fill="auto"/>
            <w:textDirection w:val="btLr"/>
            <w:vAlign w:val="center"/>
          </w:tcPr>
          <w:p>
            <w:pPr>
              <w:spacing w:after="0" w:line="240" w:lineRule="auto"/>
              <w:jc w:val="center"/>
              <w:rPr>
                <w:rFonts w:ascii="Calibri" w:hAnsi="Calibri" w:eastAsia="Times New Roman" w:cs="Times New Roman"/>
                <w:b/>
                <w:bCs/>
                <w:i/>
                <w:iCs/>
                <w:color w:val="000000"/>
                <w:sz w:val="20"/>
                <w:szCs w:val="20"/>
                <w:lang w:val="en-US" w:eastAsia="de-DE"/>
              </w:rPr>
            </w:pPr>
          </w:p>
        </w:tc>
      </w:tr>
      <w:tr>
        <w:tblPrEx>
          <w:tblLayout w:type="fixed"/>
          <w:tblCellMar>
            <w:top w:w="0" w:type="dxa"/>
            <w:left w:w="70" w:type="dxa"/>
            <w:bottom w:w="0" w:type="dxa"/>
            <w:right w:w="70" w:type="dxa"/>
          </w:tblCellMar>
        </w:tblPrEx>
        <w:trPr>
          <w:trHeight w:val="553" w:hRule="atLeast"/>
        </w:trPr>
        <w:tc>
          <w:tcPr>
            <w:tcW w:w="4876" w:type="dxa"/>
            <w:gridSpan w:val="2"/>
            <w:vMerge w:val="continue"/>
            <w:tcBorders>
              <w:bottom w:val="single" w:color="auto" w:sz="4" w:space="0"/>
              <w:right w:val="single" w:color="auto" w:sz="4" w:space="0"/>
            </w:tcBorders>
            <w:shd w:val="clear" w:color="auto" w:fill="auto"/>
            <w:vAlign w:val="bottom"/>
          </w:tcPr>
          <w:p>
            <w:pPr>
              <w:spacing w:after="0" w:line="240" w:lineRule="auto"/>
              <w:rPr>
                <w:rFonts w:ascii="Calibri" w:hAnsi="Calibri" w:eastAsia="Times New Roman" w:cs="Times New Roman"/>
                <w:b/>
                <w:bCs/>
                <w:color w:val="000000"/>
                <w:lang w:val="en-US" w:eastAsia="de-DE"/>
              </w:rPr>
            </w:pPr>
          </w:p>
        </w:tc>
        <w:tc>
          <w:tcPr>
            <w:tcW w:w="3912" w:type="dxa"/>
            <w:gridSpan w:val="4"/>
            <w:tcBorders>
              <w:top w:val="single" w:color="auto" w:sz="4" w:space="0"/>
              <w:left w:val="nil"/>
              <w:bottom w:val="single" w:color="auto" w:sz="4" w:space="0"/>
              <w:right w:val="single" w:color="auto" w:sz="4" w:space="0"/>
            </w:tcBorders>
            <w:shd w:val="clear" w:color="auto" w:fill="E5DFEC" w:themeFill="accent4" w:themeFillTint="33"/>
            <w:vAlign w:val="center"/>
          </w:tcPr>
          <w:p>
            <w:pPr>
              <w:spacing w:after="0" w:line="240" w:lineRule="auto"/>
              <w:jc w:val="center"/>
              <w:rPr>
                <w:rFonts w:ascii="Calibri" w:hAnsi="Calibri" w:eastAsia="Times New Roman" w:cs="Times New Roman"/>
                <w:b/>
                <w:bCs/>
                <w:iCs/>
                <w:color w:val="000000"/>
                <w:sz w:val="20"/>
                <w:szCs w:val="20"/>
                <w:lang w:val="en-US" w:eastAsia="de-DE"/>
              </w:rPr>
            </w:pPr>
            <w:r>
              <w:rPr>
                <w:rFonts w:ascii="Calibri" w:hAnsi="Calibri" w:eastAsia="Times New Roman" w:cs="Times New Roman"/>
                <w:b/>
                <w:bCs/>
                <w:iCs/>
                <w:color w:val="000000"/>
                <w:sz w:val="20"/>
                <w:szCs w:val="20"/>
                <w:lang w:val="en-US" w:eastAsia="de-DE"/>
              </w:rPr>
              <w:t>Gram-negative bacteria</w:t>
            </w:r>
          </w:p>
        </w:tc>
        <w:tc>
          <w:tcPr>
            <w:tcW w:w="988" w:type="dxa"/>
            <w:tcBorders>
              <w:top w:val="single" w:color="auto" w:sz="4" w:space="0"/>
              <w:left w:val="nil"/>
              <w:bottom w:val="single" w:color="auto" w:sz="4" w:space="0"/>
              <w:right w:val="single" w:color="auto" w:sz="4" w:space="0"/>
            </w:tcBorders>
            <w:shd w:val="clear" w:color="auto" w:fill="DAEEF3" w:themeFill="accent5" w:themeFillTint="33"/>
            <w:vAlign w:val="center"/>
          </w:tcPr>
          <w:p>
            <w:pPr>
              <w:spacing w:after="0" w:line="240" w:lineRule="auto"/>
              <w:jc w:val="center"/>
              <w:rPr>
                <w:rFonts w:ascii="Calibri" w:hAnsi="Calibri" w:eastAsia="Times New Roman" w:cs="Times New Roman"/>
                <w:b/>
                <w:bCs/>
                <w:iCs/>
                <w:color w:val="000000"/>
                <w:sz w:val="20"/>
                <w:szCs w:val="20"/>
                <w:lang w:val="en-US" w:eastAsia="de-DE"/>
              </w:rPr>
            </w:pPr>
            <w:r>
              <w:rPr>
                <w:rFonts w:ascii="Calibri" w:hAnsi="Calibri" w:eastAsia="Times New Roman" w:cs="Times New Roman"/>
                <w:b/>
                <w:bCs/>
                <w:iCs/>
                <w:color w:val="000000"/>
                <w:sz w:val="20"/>
                <w:szCs w:val="20"/>
                <w:lang w:val="en-US" w:eastAsia="de-DE"/>
              </w:rPr>
              <w:t>Gram-positive bacteria</w:t>
            </w:r>
          </w:p>
        </w:tc>
        <w:tc>
          <w:tcPr>
            <w:tcW w:w="1985" w:type="dxa"/>
            <w:gridSpan w:val="2"/>
            <w:tcBorders>
              <w:top w:val="single" w:color="auto" w:sz="4" w:space="0"/>
              <w:left w:val="nil"/>
              <w:bottom w:val="single" w:color="auto" w:sz="4" w:space="0"/>
              <w:right w:val="single" w:color="auto" w:sz="4" w:space="0"/>
            </w:tcBorders>
            <w:shd w:val="clear" w:color="auto" w:fill="FCFCD2"/>
            <w:vAlign w:val="center"/>
          </w:tcPr>
          <w:p>
            <w:pPr>
              <w:spacing w:after="0" w:line="240" w:lineRule="auto"/>
              <w:jc w:val="center"/>
              <w:rPr>
                <w:rFonts w:ascii="Calibri" w:hAnsi="Calibri" w:eastAsia="Times New Roman" w:cs="Times New Roman"/>
                <w:b/>
                <w:bCs/>
                <w:iCs/>
                <w:color w:val="000000"/>
                <w:sz w:val="20"/>
                <w:szCs w:val="20"/>
                <w:lang w:val="en-US" w:eastAsia="de-DE"/>
              </w:rPr>
            </w:pPr>
            <w:r>
              <w:rPr>
                <w:rFonts w:ascii="Calibri" w:hAnsi="Calibri" w:eastAsia="Times New Roman" w:cs="Times New Roman"/>
                <w:b/>
                <w:bCs/>
                <w:iCs/>
                <w:color w:val="000000"/>
                <w:sz w:val="20"/>
                <w:szCs w:val="20"/>
                <w:lang w:val="en-US" w:eastAsia="de-DE"/>
              </w:rPr>
              <w:t>Fungi</w:t>
            </w:r>
          </w:p>
        </w:tc>
        <w:tc>
          <w:tcPr>
            <w:tcW w:w="2409" w:type="dxa"/>
            <w:gridSpan w:val="2"/>
            <w:vMerge w:val="continue"/>
            <w:tcBorders>
              <w:left w:val="nil"/>
              <w:bottom w:val="single" w:color="auto" w:sz="4" w:space="0"/>
            </w:tcBorders>
            <w:shd w:val="clear" w:color="auto" w:fill="auto"/>
            <w:textDirection w:val="btLr"/>
            <w:vAlign w:val="center"/>
          </w:tcPr>
          <w:p>
            <w:pPr>
              <w:spacing w:after="0" w:line="240" w:lineRule="auto"/>
              <w:jc w:val="center"/>
              <w:rPr>
                <w:rFonts w:ascii="Calibri" w:hAnsi="Calibri" w:eastAsia="Times New Roman" w:cs="Times New Roman"/>
                <w:b/>
                <w:bCs/>
                <w:i/>
                <w:iCs/>
                <w:color w:val="000000"/>
                <w:sz w:val="20"/>
                <w:szCs w:val="20"/>
                <w:lang w:val="en-US" w:eastAsia="de-DE"/>
              </w:rPr>
            </w:pPr>
          </w:p>
        </w:tc>
      </w:tr>
      <w:tr>
        <w:tblPrEx>
          <w:tblLayout w:type="fixed"/>
          <w:tblCellMar>
            <w:top w:w="0" w:type="dxa"/>
            <w:left w:w="70" w:type="dxa"/>
            <w:bottom w:w="0" w:type="dxa"/>
            <w:right w:w="70" w:type="dxa"/>
          </w:tblCellMar>
        </w:tblPrEx>
        <w:trPr>
          <w:trHeight w:val="1335" w:hRule="atLeast"/>
        </w:trPr>
        <w:tc>
          <w:tcPr>
            <w:tcW w:w="119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de-DE"/>
              </w:rPr>
            </w:pPr>
            <w:r>
              <w:rPr>
                <w:rFonts w:ascii="Calibri" w:hAnsi="Calibri" w:eastAsia="Times New Roman" w:cs="Times New Roman"/>
                <w:b/>
                <w:bCs/>
                <w:color w:val="000000"/>
                <w:lang w:eastAsia="de-DE"/>
              </w:rPr>
              <w:t>X number</w:t>
            </w:r>
          </w:p>
        </w:tc>
        <w:tc>
          <w:tcPr>
            <w:tcW w:w="3685"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de-DE"/>
              </w:rPr>
            </w:pPr>
            <w:r>
              <w:rPr>
                <w:rFonts w:ascii="Calibri" w:hAnsi="Calibri" w:eastAsia="Times New Roman" w:cs="Times New Roman"/>
                <w:b/>
                <w:bCs/>
                <w:color w:val="000000"/>
                <w:lang w:eastAsia="de-DE"/>
              </w:rPr>
              <w:t>Structure</w:t>
            </w:r>
          </w:p>
        </w:tc>
        <w:tc>
          <w:tcPr>
            <w:tcW w:w="978" w:type="dxa"/>
            <w:tcBorders>
              <w:top w:val="single" w:color="auto" w:sz="4" w:space="0"/>
              <w:left w:val="nil"/>
              <w:bottom w:val="single" w:color="auto" w:sz="4" w:space="0"/>
              <w:right w:val="single" w:color="auto" w:sz="4" w:space="0"/>
            </w:tcBorders>
            <w:shd w:val="clear" w:color="auto" w:fill="E5DFEC" w:themeFill="accent4" w:themeFillTint="33"/>
            <w:textDirection w:val="btLr"/>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E. coli</w:t>
            </w:r>
          </w:p>
        </w:tc>
        <w:tc>
          <w:tcPr>
            <w:tcW w:w="978" w:type="dxa"/>
            <w:tcBorders>
              <w:top w:val="single" w:color="auto" w:sz="4" w:space="0"/>
              <w:left w:val="nil"/>
              <w:bottom w:val="single" w:color="auto" w:sz="4" w:space="0"/>
              <w:right w:val="single" w:color="auto" w:sz="4" w:space="0"/>
            </w:tcBorders>
            <w:shd w:val="clear" w:color="auto" w:fill="E5DFEC" w:themeFill="accent4" w:themeFillTint="33"/>
            <w:textDirection w:val="btLr"/>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K. pneumoniae</w:t>
            </w:r>
          </w:p>
        </w:tc>
        <w:tc>
          <w:tcPr>
            <w:tcW w:w="978" w:type="dxa"/>
            <w:tcBorders>
              <w:top w:val="single" w:color="auto" w:sz="4" w:space="0"/>
              <w:left w:val="nil"/>
              <w:bottom w:val="single" w:color="auto" w:sz="4" w:space="0"/>
              <w:right w:val="single" w:color="auto" w:sz="4" w:space="0"/>
            </w:tcBorders>
            <w:shd w:val="clear" w:color="auto" w:fill="E5DFEC" w:themeFill="accent4" w:themeFillTint="33"/>
            <w:textDirection w:val="btLr"/>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A. baumannii</w:t>
            </w:r>
          </w:p>
        </w:tc>
        <w:tc>
          <w:tcPr>
            <w:tcW w:w="978" w:type="dxa"/>
            <w:tcBorders>
              <w:top w:val="single" w:color="auto" w:sz="4" w:space="0"/>
              <w:left w:val="nil"/>
              <w:bottom w:val="single" w:color="auto" w:sz="4" w:space="0"/>
              <w:right w:val="single" w:color="auto" w:sz="4" w:space="0"/>
            </w:tcBorders>
            <w:shd w:val="clear" w:color="auto" w:fill="E5DFEC" w:themeFill="accent4" w:themeFillTint="33"/>
            <w:textDirection w:val="btLr"/>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P. aeruginosa</w:t>
            </w:r>
          </w:p>
        </w:tc>
        <w:tc>
          <w:tcPr>
            <w:tcW w:w="988" w:type="dxa"/>
            <w:tcBorders>
              <w:top w:val="single" w:color="auto" w:sz="4" w:space="0"/>
              <w:left w:val="nil"/>
              <w:bottom w:val="single" w:color="auto" w:sz="4" w:space="0"/>
              <w:right w:val="single" w:color="auto" w:sz="4" w:space="0"/>
            </w:tcBorders>
            <w:shd w:val="clear" w:color="auto" w:fill="DAEEF3" w:themeFill="accent5" w:themeFillTint="33"/>
            <w:textDirection w:val="btLr"/>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S</w:t>
            </w:r>
            <w:r>
              <w:rPr>
                <w:rFonts w:ascii="Calibri" w:hAnsi="Calibri" w:eastAsia="Times New Roman" w:cs="Times New Roman"/>
                <w:b/>
                <w:bCs/>
                <w:i/>
                <w:iCs/>
                <w:color w:val="000000"/>
                <w:sz w:val="20"/>
                <w:szCs w:val="20"/>
                <w:shd w:val="clear" w:color="auto" w:fill="DAEEF3" w:themeFill="accent5" w:themeFillTint="33"/>
                <w:lang w:eastAsia="de-DE"/>
              </w:rPr>
              <w:t>. aureus</w:t>
            </w:r>
          </w:p>
        </w:tc>
        <w:tc>
          <w:tcPr>
            <w:tcW w:w="984" w:type="dxa"/>
            <w:tcBorders>
              <w:top w:val="single" w:color="auto" w:sz="4" w:space="0"/>
              <w:left w:val="nil"/>
              <w:bottom w:val="single" w:color="auto" w:sz="4" w:space="0"/>
              <w:right w:val="single" w:color="auto" w:sz="4" w:space="0"/>
            </w:tcBorders>
            <w:shd w:val="clear" w:color="auto" w:fill="FCFCD2"/>
            <w:textDirection w:val="btLr"/>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C. albicans</w:t>
            </w:r>
          </w:p>
        </w:tc>
        <w:tc>
          <w:tcPr>
            <w:tcW w:w="1001" w:type="dxa"/>
            <w:tcBorders>
              <w:top w:val="single" w:color="auto" w:sz="4" w:space="0"/>
              <w:left w:val="nil"/>
              <w:bottom w:val="single" w:color="auto" w:sz="4" w:space="0"/>
              <w:right w:val="single" w:color="auto" w:sz="4" w:space="0"/>
            </w:tcBorders>
            <w:shd w:val="clear" w:color="auto" w:fill="FCFCD2"/>
            <w:textDirection w:val="btLr"/>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C. neoformans</w:t>
            </w:r>
          </w:p>
        </w:tc>
        <w:tc>
          <w:tcPr>
            <w:tcW w:w="11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Cytotoxic activity</w:t>
            </w:r>
          </w:p>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br w:type="textWrapping"/>
            </w:r>
            <w:r>
              <w:rPr>
                <w:rFonts w:ascii="Calibri" w:hAnsi="Calibri" w:eastAsia="Times New Roman" w:cs="Times New Roman"/>
                <w:b/>
                <w:bCs/>
                <w:i/>
                <w:iCs/>
                <w:color w:val="000000"/>
                <w:sz w:val="20"/>
                <w:szCs w:val="20"/>
                <w:lang w:eastAsia="de-DE"/>
              </w:rPr>
              <w:t>CC</w:t>
            </w:r>
            <w:r>
              <w:rPr>
                <w:rFonts w:ascii="Calibri" w:hAnsi="Calibri" w:eastAsia="Times New Roman" w:cs="Times New Roman"/>
                <w:b/>
                <w:bCs/>
                <w:i/>
                <w:iCs/>
                <w:color w:val="000000"/>
                <w:sz w:val="20"/>
                <w:szCs w:val="20"/>
                <w:vertAlign w:val="subscript"/>
                <w:lang w:eastAsia="de-DE"/>
              </w:rPr>
              <w:t>50</w:t>
            </w:r>
          </w:p>
        </w:tc>
        <w:tc>
          <w:tcPr>
            <w:tcW w:w="1211"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Haemolytic activity</w:t>
            </w:r>
          </w:p>
          <w:p>
            <w:pPr>
              <w:spacing w:after="0" w:line="240" w:lineRule="auto"/>
              <w:jc w:val="center"/>
              <w:rPr>
                <w:rFonts w:ascii="Calibri" w:hAnsi="Calibri" w:eastAsia="Times New Roman" w:cs="Times New Roman"/>
                <w:b/>
                <w:bCs/>
                <w:i/>
                <w:iCs/>
                <w:color w:val="000000"/>
                <w:sz w:val="20"/>
                <w:szCs w:val="20"/>
                <w:lang w:eastAsia="de-DE"/>
              </w:rPr>
            </w:pPr>
          </w:p>
          <w:p>
            <w:pPr>
              <w:spacing w:after="0" w:line="240" w:lineRule="auto"/>
              <w:jc w:val="center"/>
              <w:rPr>
                <w:rFonts w:ascii="Calibri" w:hAnsi="Calibri" w:eastAsia="Times New Roman" w:cs="Times New Roman"/>
                <w:b/>
                <w:bCs/>
                <w:i/>
                <w:iCs/>
                <w:color w:val="000000"/>
                <w:sz w:val="20"/>
                <w:szCs w:val="20"/>
                <w:lang w:eastAsia="de-DE"/>
              </w:rPr>
            </w:pPr>
            <w:r>
              <w:rPr>
                <w:rFonts w:ascii="Calibri" w:hAnsi="Calibri" w:eastAsia="Times New Roman" w:cs="Times New Roman"/>
                <w:b/>
                <w:bCs/>
                <w:i/>
                <w:iCs/>
                <w:color w:val="000000"/>
                <w:sz w:val="20"/>
                <w:szCs w:val="20"/>
                <w:lang w:eastAsia="de-DE"/>
              </w:rPr>
              <w:t>HC</w:t>
            </w:r>
            <w:r>
              <w:rPr>
                <w:rFonts w:ascii="Calibri" w:hAnsi="Calibri" w:eastAsia="Times New Roman" w:cs="Times New Roman"/>
                <w:b/>
                <w:bCs/>
                <w:i/>
                <w:iCs/>
                <w:color w:val="000000"/>
                <w:sz w:val="20"/>
                <w:szCs w:val="20"/>
                <w:vertAlign w:val="subscript"/>
                <w:lang w:eastAsia="de-DE"/>
              </w:rPr>
              <w:t>10</w:t>
            </w:r>
          </w:p>
        </w:tc>
      </w:tr>
      <w:tr>
        <w:tblPrEx>
          <w:tblLayout w:type="fixed"/>
          <w:tblCellMar>
            <w:top w:w="0" w:type="dxa"/>
            <w:left w:w="70" w:type="dxa"/>
            <w:bottom w:w="0" w:type="dxa"/>
            <w:right w:w="70" w:type="dxa"/>
          </w:tblCellMar>
        </w:tblPrEx>
        <w:trPr>
          <w:trHeight w:val="908" w:hRule="atLeast"/>
        </w:trPr>
        <w:tc>
          <w:tcPr>
            <w:tcW w:w="1191" w:type="dxa"/>
            <w:vMerge w:val="restart"/>
            <w:tcBorders>
              <w:top w:val="nil"/>
              <w:left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X5247</w:t>
            </w:r>
          </w:p>
        </w:tc>
        <w:tc>
          <w:tcPr>
            <w:tcW w:w="3685" w:type="dxa"/>
            <w:vMerge w:val="restart"/>
            <w:tcBorders>
              <w:top w:val="nil"/>
              <w:left w:val="nil"/>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1771015" cy="1141730"/>
                  <wp:effectExtent l="0" t="0" r="635"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71075" cy="1141918"/>
                          </a:xfrm>
                          <a:prstGeom prst="rect">
                            <a:avLst/>
                          </a:prstGeom>
                        </pic:spPr>
                      </pic:pic>
                    </a:graphicData>
                  </a:graphic>
                </wp:inline>
              </w:drawing>
            </w:r>
          </w:p>
        </w:tc>
        <w:tc>
          <w:tcPr>
            <w:tcW w:w="978" w:type="dxa"/>
            <w:vMerge w:val="restart"/>
            <w:tcBorders>
              <w:top w:val="nil"/>
              <w:left w:val="nil"/>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vMerge w:val="restart"/>
            <w:tcBorders>
              <w:top w:val="nil"/>
              <w:left w:val="nil"/>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vMerge w:val="restart"/>
            <w:tcBorders>
              <w:top w:val="nil"/>
              <w:left w:val="nil"/>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vMerge w:val="restart"/>
            <w:tcBorders>
              <w:top w:val="nil"/>
              <w:left w:val="nil"/>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92D050"/>
            <w:vAlign w:val="center"/>
          </w:tcPr>
          <w:p>
            <w:pPr>
              <w:spacing w:after="0"/>
              <w:jc w:val="center"/>
            </w:pPr>
            <w:r>
              <w:t>PS</w:t>
            </w:r>
          </w:p>
          <w:p>
            <w:pPr>
              <w:spacing w:after="0"/>
              <w:jc w:val="center"/>
            </w:pPr>
            <w:r>
              <w:t>(101.0%</w:t>
            </w:r>
          </w:p>
          <w:p>
            <w:pPr>
              <w:spacing w:after="0"/>
              <w:jc w:val="center"/>
              <w:rPr>
                <w:rFonts w:ascii="Calibri" w:hAnsi="Calibri" w:eastAsia="Times New Roman" w:cs="Times New Roman"/>
                <w:color w:val="000000"/>
                <w:lang w:eastAsia="de-DE"/>
              </w:rPr>
            </w:pPr>
            <w:r>
              <w:t>101.2%)</w:t>
            </w:r>
          </w:p>
        </w:tc>
        <w:tc>
          <w:tcPr>
            <w:tcW w:w="984" w:type="dxa"/>
            <w:vMerge w:val="restart"/>
            <w:tcBorders>
              <w:top w:val="nil"/>
              <w:left w:val="nil"/>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vMerge w:val="restart"/>
            <w:tcBorders>
              <w:top w:val="nil"/>
              <w:left w:val="nil"/>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vMerge w:val="restart"/>
            <w:tcBorders>
              <w:top w:val="nil"/>
              <w:left w:val="nil"/>
              <w:right w:val="single" w:color="auto" w:sz="4" w:space="0"/>
            </w:tcBorders>
            <w:shd w:val="clear" w:color="auto" w:fill="E5B8B7" w:themeFill="accent2" w:themeFillTint="66"/>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TOXIC</w:t>
            </w:r>
          </w:p>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5.40 µM</w:t>
            </w:r>
          </w:p>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5.67 µM</w:t>
            </w:r>
          </w:p>
        </w:tc>
        <w:tc>
          <w:tcPr>
            <w:tcW w:w="1211" w:type="dxa"/>
            <w:vMerge w:val="restart"/>
            <w:tcBorders>
              <w:top w:val="nil"/>
              <w:left w:val="nil"/>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&gt; 20 µM</w:t>
            </w:r>
          </w:p>
        </w:tc>
      </w:tr>
      <w:tr>
        <w:tblPrEx>
          <w:tblLayout w:type="fixed"/>
          <w:tblCellMar>
            <w:top w:w="0" w:type="dxa"/>
            <w:left w:w="70" w:type="dxa"/>
            <w:bottom w:w="0" w:type="dxa"/>
            <w:right w:w="70" w:type="dxa"/>
          </w:tblCellMar>
        </w:tblPrEx>
        <w:trPr>
          <w:trHeight w:val="907" w:hRule="atLeast"/>
        </w:trPr>
        <w:tc>
          <w:tcPr>
            <w:tcW w:w="1191" w:type="dxa"/>
            <w:vMerge w:val="continue"/>
            <w:tcBorders>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p>
        </w:tc>
        <w:tc>
          <w:tcPr>
            <w:tcW w:w="3685" w:type="dxa"/>
            <w:vMerge w:val="continue"/>
            <w:tcBorders>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p>
        </w:tc>
        <w:tc>
          <w:tcPr>
            <w:tcW w:w="978" w:type="dxa"/>
            <w:vMerge w:val="continue"/>
            <w:tcBorders>
              <w:left w:val="nil"/>
              <w:bottom w:val="single" w:color="auto" w:sz="4" w:space="0"/>
              <w:right w:val="single" w:color="auto" w:sz="4" w:space="0"/>
            </w:tcBorders>
            <w:shd w:val="clear" w:color="auto" w:fill="auto"/>
            <w:vAlign w:val="center"/>
          </w:tcPr>
          <w:p>
            <w:pPr>
              <w:spacing w:after="0"/>
              <w:jc w:val="center"/>
              <w:rPr>
                <w:rFonts w:ascii="Calibri" w:hAnsi="Calibri" w:eastAsia="Times New Roman" w:cs="Times New Roman"/>
                <w:color w:val="000000"/>
                <w:lang w:eastAsia="de-DE"/>
              </w:rPr>
            </w:pPr>
          </w:p>
        </w:tc>
        <w:tc>
          <w:tcPr>
            <w:tcW w:w="978" w:type="dxa"/>
            <w:vMerge w:val="continue"/>
            <w:tcBorders>
              <w:left w:val="nil"/>
              <w:bottom w:val="single" w:color="auto" w:sz="4" w:space="0"/>
              <w:right w:val="single" w:color="auto" w:sz="4" w:space="0"/>
            </w:tcBorders>
            <w:shd w:val="clear" w:color="auto" w:fill="auto"/>
            <w:vAlign w:val="center"/>
          </w:tcPr>
          <w:p>
            <w:pPr>
              <w:spacing w:after="0"/>
              <w:jc w:val="center"/>
              <w:rPr>
                <w:rFonts w:ascii="Calibri" w:hAnsi="Calibri" w:eastAsia="Times New Roman" w:cs="Times New Roman"/>
                <w:color w:val="000000"/>
                <w:lang w:eastAsia="de-DE"/>
              </w:rPr>
            </w:pPr>
          </w:p>
        </w:tc>
        <w:tc>
          <w:tcPr>
            <w:tcW w:w="978" w:type="dxa"/>
            <w:vMerge w:val="continue"/>
            <w:tcBorders>
              <w:left w:val="nil"/>
              <w:bottom w:val="single" w:color="auto" w:sz="4" w:space="0"/>
              <w:right w:val="single" w:color="auto" w:sz="4" w:space="0"/>
            </w:tcBorders>
            <w:shd w:val="clear" w:color="auto" w:fill="auto"/>
            <w:vAlign w:val="center"/>
          </w:tcPr>
          <w:p>
            <w:pPr>
              <w:spacing w:after="0"/>
              <w:jc w:val="center"/>
              <w:rPr>
                <w:rFonts w:ascii="Calibri" w:hAnsi="Calibri" w:eastAsia="Times New Roman" w:cs="Times New Roman"/>
                <w:color w:val="000000"/>
                <w:lang w:eastAsia="de-DE"/>
              </w:rPr>
            </w:pPr>
          </w:p>
        </w:tc>
        <w:tc>
          <w:tcPr>
            <w:tcW w:w="978" w:type="dxa"/>
            <w:vMerge w:val="continue"/>
            <w:tcBorders>
              <w:left w:val="nil"/>
              <w:bottom w:val="single" w:color="auto" w:sz="4" w:space="0"/>
              <w:right w:val="single" w:color="auto" w:sz="4" w:space="0"/>
            </w:tcBorders>
            <w:shd w:val="clear" w:color="auto" w:fill="auto"/>
            <w:vAlign w:val="center"/>
          </w:tcPr>
          <w:p>
            <w:pPr>
              <w:spacing w:after="0"/>
              <w:jc w:val="center"/>
              <w:rPr>
                <w:rFonts w:ascii="Calibri" w:hAnsi="Calibri" w:eastAsia="Times New Roman" w:cs="Times New Roman"/>
                <w:color w:val="000000"/>
                <w:lang w:eastAsia="de-DE"/>
              </w:rPr>
            </w:pPr>
          </w:p>
        </w:tc>
        <w:tc>
          <w:tcPr>
            <w:tcW w:w="988" w:type="dxa"/>
            <w:tcBorders>
              <w:top w:val="nil"/>
              <w:left w:val="nil"/>
              <w:bottom w:val="single" w:color="auto" w:sz="4" w:space="0"/>
              <w:right w:val="single" w:color="auto" w:sz="4" w:space="0"/>
            </w:tcBorders>
            <w:shd w:val="clear" w:color="auto" w:fill="92D050"/>
            <w:vAlign w:val="center"/>
          </w:tcPr>
          <w:p>
            <w:pPr>
              <w:spacing w:after="0"/>
              <w:jc w:val="center"/>
            </w:pPr>
            <w:r>
              <w:t>HC</w:t>
            </w:r>
          </w:p>
          <w:p>
            <w:pPr>
              <w:spacing w:after="0"/>
              <w:jc w:val="center"/>
            </w:pPr>
            <w:r>
              <w:t>10 µM</w:t>
            </w:r>
          </w:p>
        </w:tc>
        <w:tc>
          <w:tcPr>
            <w:tcW w:w="984" w:type="dxa"/>
            <w:vMerge w:val="continue"/>
            <w:tcBorders>
              <w:left w:val="nil"/>
              <w:bottom w:val="single" w:color="auto" w:sz="4" w:space="0"/>
              <w:right w:val="single" w:color="auto" w:sz="4" w:space="0"/>
            </w:tcBorders>
            <w:shd w:val="clear" w:color="auto" w:fill="auto"/>
            <w:vAlign w:val="center"/>
          </w:tcPr>
          <w:p>
            <w:pPr>
              <w:spacing w:after="0"/>
              <w:jc w:val="center"/>
              <w:rPr>
                <w:rFonts w:ascii="Calibri" w:hAnsi="Calibri" w:eastAsia="Times New Roman" w:cs="Times New Roman"/>
                <w:color w:val="000000"/>
                <w:lang w:eastAsia="de-DE"/>
              </w:rPr>
            </w:pPr>
          </w:p>
        </w:tc>
        <w:tc>
          <w:tcPr>
            <w:tcW w:w="1001" w:type="dxa"/>
            <w:vMerge w:val="continue"/>
            <w:tcBorders>
              <w:left w:val="nil"/>
              <w:bottom w:val="single" w:color="auto" w:sz="4" w:space="0"/>
              <w:right w:val="single" w:color="auto" w:sz="4" w:space="0"/>
            </w:tcBorders>
            <w:shd w:val="clear" w:color="auto" w:fill="auto"/>
            <w:vAlign w:val="center"/>
          </w:tcPr>
          <w:p>
            <w:pPr>
              <w:spacing w:after="0"/>
              <w:jc w:val="center"/>
              <w:rPr>
                <w:rFonts w:ascii="Calibri" w:hAnsi="Calibri" w:eastAsia="Times New Roman" w:cs="Times New Roman"/>
                <w:color w:val="000000"/>
                <w:lang w:eastAsia="de-DE"/>
              </w:rPr>
            </w:pPr>
          </w:p>
        </w:tc>
        <w:tc>
          <w:tcPr>
            <w:tcW w:w="1198" w:type="dxa"/>
            <w:vMerge w:val="continue"/>
            <w:tcBorders>
              <w:left w:val="nil"/>
              <w:bottom w:val="single" w:color="auto" w:sz="4" w:space="0"/>
              <w:right w:val="single" w:color="auto" w:sz="4" w:space="0"/>
            </w:tcBorders>
            <w:shd w:val="clear" w:color="auto" w:fill="E5B8B7" w:themeFill="accent2" w:themeFillTint="66"/>
            <w:vAlign w:val="center"/>
          </w:tcPr>
          <w:p>
            <w:pPr>
              <w:spacing w:after="0" w:line="240" w:lineRule="auto"/>
              <w:jc w:val="center"/>
              <w:rPr>
                <w:rFonts w:ascii="Calibri" w:hAnsi="Calibri" w:eastAsia="Times New Roman" w:cs="Times New Roman"/>
                <w:color w:val="000000"/>
                <w:lang w:eastAsia="de-DE"/>
              </w:rPr>
            </w:pPr>
          </w:p>
        </w:tc>
        <w:tc>
          <w:tcPr>
            <w:tcW w:w="1211" w:type="dxa"/>
            <w:vMerge w:val="continue"/>
            <w:tcBorders>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p>
        </w:tc>
      </w:tr>
      <w:tr>
        <w:tblPrEx>
          <w:tblLayout w:type="fixed"/>
          <w:tblCellMar>
            <w:top w:w="0" w:type="dxa"/>
            <w:left w:w="70" w:type="dxa"/>
            <w:bottom w:w="0" w:type="dxa"/>
            <w:right w:w="70" w:type="dxa"/>
          </w:tblCellMar>
        </w:tblPrEx>
        <w:trPr>
          <w:trHeight w:val="1815" w:hRule="atLeast"/>
        </w:trPr>
        <w:tc>
          <w:tcPr>
            <w:tcW w:w="119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X5248</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2045335" cy="89598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45771" cy="896190"/>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X5249</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1771015" cy="1141730"/>
                  <wp:effectExtent l="0" t="0" r="63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71075" cy="1141918"/>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X6751</w:t>
            </w:r>
          </w:p>
        </w:tc>
        <w:tc>
          <w:tcPr>
            <w:tcW w:w="3685"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2251075" cy="127825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51075" cy="1278255"/>
                          </a:xfrm>
                          <a:prstGeom prst="rect">
                            <a:avLst/>
                          </a:prstGeom>
                        </pic:spPr>
                      </pic:pic>
                    </a:graphicData>
                  </a:graphic>
                </wp:inline>
              </w:drawing>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X6752</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2251075" cy="12782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51075" cy="1278255"/>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X6753</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2251075" cy="1122045"/>
                  <wp:effectExtent l="0" t="0" r="0" b="19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51075" cy="1122045"/>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X6754</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2251075" cy="1122045"/>
                  <wp:effectExtent l="0" t="0" r="0" b="19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51075" cy="1122045"/>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X6755</w:t>
            </w:r>
          </w:p>
        </w:tc>
        <w:tc>
          <w:tcPr>
            <w:tcW w:w="3685"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2251075" cy="122047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51075" cy="1220470"/>
                          </a:xfrm>
                          <a:prstGeom prst="rect">
                            <a:avLst/>
                          </a:prstGeom>
                        </pic:spPr>
                      </pic:pic>
                    </a:graphicData>
                  </a:graphic>
                </wp:inline>
              </w:drawing>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X6756</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2251075" cy="122047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51075" cy="1220470"/>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X7095</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1771015" cy="895985"/>
                  <wp:effectExtent l="0" t="0" r="63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71075" cy="896190"/>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X7096</w:t>
            </w:r>
          </w:p>
        </w:tc>
        <w:tc>
          <w:tcPr>
            <w:tcW w:w="3685"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1842770" cy="895985"/>
                  <wp:effectExtent l="0" t="0" r="508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43363" cy="896190"/>
                          </a:xfrm>
                          <a:prstGeom prst="rect">
                            <a:avLst/>
                          </a:prstGeom>
                        </pic:spPr>
                      </pic:pic>
                    </a:graphicData>
                  </a:graphic>
                </wp:inline>
              </w:drawing>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single" w:color="auto" w:sz="4" w:space="0"/>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X7097</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1842770" cy="895985"/>
                  <wp:effectExtent l="0" t="0" r="508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43363" cy="896190"/>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line="240" w:lineRule="auto"/>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r>
        <w:tblPrEx>
          <w:tblLayout w:type="fixed"/>
          <w:tblCellMar>
            <w:top w:w="0" w:type="dxa"/>
            <w:left w:w="70" w:type="dxa"/>
            <w:bottom w:w="0" w:type="dxa"/>
            <w:right w:w="70" w:type="dxa"/>
          </w:tblCellMar>
        </w:tblPrEx>
        <w:trPr>
          <w:trHeight w:val="1815" w:hRule="atLeast"/>
        </w:trPr>
        <w:tc>
          <w:tcPr>
            <w:tcW w:w="119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lang w:eastAsia="de-DE"/>
              </w:rPr>
            </w:pPr>
            <w:r>
              <w:rPr>
                <w:rFonts w:ascii="Calibri" w:hAnsi="Calibri" w:eastAsia="Times New Roman" w:cs="Times New Roman"/>
                <w:lang w:eastAsia="de-DE"/>
              </w:rPr>
              <w:t>X7098</w:t>
            </w:r>
          </w:p>
        </w:tc>
        <w:tc>
          <w:tcPr>
            <w:tcW w:w="368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lang w:eastAsia="de-DE"/>
              </w:rPr>
              <w:drawing>
                <wp:inline distT="0" distB="0" distL="0" distR="0">
                  <wp:extent cx="2074545" cy="802005"/>
                  <wp:effectExtent l="0" t="0" r="190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074687" cy="802234"/>
                          </a:xfrm>
                          <a:prstGeom prst="rect">
                            <a:avLst/>
                          </a:prstGeom>
                        </pic:spPr>
                      </pic:pic>
                    </a:graphicData>
                  </a:graphic>
                </wp:inline>
              </w:drawing>
            </w:r>
          </w:p>
        </w:tc>
        <w:tc>
          <w:tcPr>
            <w:tcW w:w="978" w:type="dxa"/>
            <w:tcBorders>
              <w:top w:val="nil"/>
              <w:left w:val="nil"/>
              <w:bottom w:val="single" w:color="auto" w:sz="4" w:space="0"/>
              <w:right w:val="single" w:color="auto" w:sz="4" w:space="0"/>
            </w:tcBorders>
            <w:shd w:val="clear" w:color="auto" w:fill="auto"/>
            <w:vAlign w:val="center"/>
          </w:tcPr>
          <w:p>
            <w:pPr>
              <w:spacing w:after="0" w:line="240" w:lineRule="auto"/>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7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8"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984"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001" w:type="dxa"/>
            <w:tcBorders>
              <w:top w:val="nil"/>
              <w:left w:val="nil"/>
              <w:bottom w:val="single" w:color="auto" w:sz="4" w:space="0"/>
              <w:right w:val="single" w:color="auto" w:sz="4" w:space="0"/>
            </w:tcBorders>
            <w:shd w:val="clear" w:color="auto" w:fill="auto"/>
            <w:vAlign w:val="center"/>
          </w:tcPr>
          <w:p>
            <w:pPr>
              <w:spacing w:after="0"/>
              <w:jc w:val="center"/>
            </w:pPr>
            <w:r>
              <w:rPr>
                <w:rFonts w:ascii="Calibri" w:hAnsi="Calibri" w:eastAsia="Times New Roman" w:cs="Times New Roman"/>
                <w:color w:val="000000"/>
                <w:lang w:eastAsia="de-DE"/>
              </w:rPr>
              <w:t>PS (&lt;50%)</w:t>
            </w:r>
          </w:p>
        </w:tc>
        <w:tc>
          <w:tcPr>
            <w:tcW w:w="11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c>
          <w:tcPr>
            <w:tcW w:w="121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color w:val="000000"/>
                <w:lang w:eastAsia="de-DE"/>
              </w:rPr>
            </w:pPr>
            <w:r>
              <w:rPr>
                <w:rFonts w:ascii="Calibri" w:hAnsi="Calibri" w:eastAsia="Times New Roman" w:cs="Times New Roman"/>
                <w:color w:val="000000"/>
                <w:lang w:eastAsia="de-DE"/>
              </w:rPr>
              <w:t>n.t.</w:t>
            </w:r>
          </w:p>
        </w:tc>
      </w:tr>
    </w:tbl>
    <w:p>
      <w:pPr>
        <w:shd w:val="clear" w:color="auto" w:fill="FFFFFF" w:themeFill="background1"/>
        <w:tabs>
          <w:tab w:val="left" w:pos="709"/>
          <w:tab w:val="left" w:pos="4536"/>
        </w:tabs>
        <w:contextualSpacing/>
        <w:rPr>
          <w:b/>
          <w:sz w:val="24"/>
          <w:szCs w:val="24"/>
        </w:rPr>
        <w:sectPr>
          <w:pgSz w:w="16838" w:h="11906" w:orient="landscape"/>
          <w:pgMar w:top="1276" w:right="1417" w:bottom="1274" w:left="1134" w:header="708" w:footer="708" w:gutter="0"/>
          <w:cols w:space="708" w:num="1"/>
          <w:docGrid w:linePitch="360" w:charSpace="0"/>
        </w:sectPr>
      </w:pPr>
    </w:p>
    <w:p>
      <w:pPr>
        <w:shd w:val="clear" w:color="auto" w:fill="FFFFFF" w:themeFill="background1"/>
        <w:tabs>
          <w:tab w:val="left" w:pos="709"/>
          <w:tab w:val="left" w:pos="4536"/>
        </w:tabs>
        <w:contextualSpacing/>
        <w:rPr>
          <w:b/>
          <w:sz w:val="24"/>
          <w:szCs w:val="24"/>
        </w:rPr>
      </w:pPr>
    </w:p>
    <w:p>
      <w:pPr>
        <w:pStyle w:val="2"/>
        <w:rPr>
          <w:rFonts w:asciiTheme="minorHAnsi" w:hAnsiTheme="minorHAnsi"/>
          <w:sz w:val="24"/>
          <w:szCs w:val="24"/>
          <w:lang w:val="en-US"/>
        </w:rPr>
      </w:pPr>
      <w:bookmarkStart w:id="5" w:name="_Toc503778078"/>
      <w:r>
        <w:rPr>
          <w:rFonts w:asciiTheme="minorHAnsi" w:hAnsiTheme="minorHAnsi"/>
          <w:color w:val="1F497D" w:themeColor="text2"/>
          <w:sz w:val="24"/>
          <w:szCs w:val="24"/>
          <w:lang w:val="en-US"/>
          <w14:textFill>
            <w14:solidFill>
              <w14:schemeClr w14:val="tx2"/>
            </w14:solidFill>
          </w14:textFill>
        </w:rPr>
        <w:t xml:space="preserve">[3] </w:t>
      </w:r>
      <w:r>
        <w:rPr>
          <w:rFonts w:asciiTheme="minorHAnsi" w:hAnsiTheme="minorHAnsi"/>
          <w:sz w:val="24"/>
          <w:szCs w:val="24"/>
          <w:lang w:val="en-US"/>
        </w:rPr>
        <w:t>Explanation of Results</w:t>
      </w:r>
      <w:bookmarkEnd w:id="5"/>
    </w:p>
    <w:p>
      <w:pPr>
        <w:pStyle w:val="16"/>
        <w:ind w:left="0"/>
        <w:jc w:val="both"/>
        <w:rPr>
          <w:sz w:val="24"/>
          <w:szCs w:val="24"/>
          <w:lang w:val="en-US"/>
        </w:rPr>
      </w:pPr>
    </w:p>
    <w:p>
      <w:pPr>
        <w:pStyle w:val="16"/>
        <w:ind w:left="0"/>
        <w:jc w:val="both"/>
        <w:rPr>
          <w:sz w:val="24"/>
          <w:szCs w:val="24"/>
          <w:lang w:val="en-US"/>
        </w:rPr>
      </w:pPr>
      <w:r>
        <w:rPr>
          <w:sz w:val="24"/>
          <w:szCs w:val="24"/>
          <w:lang w:val="en-US"/>
        </w:rPr>
        <w:t xml:space="preserve">One of the compounds, namely </w:t>
      </w:r>
      <w:r>
        <w:rPr>
          <w:b/>
          <w:sz w:val="24"/>
          <w:szCs w:val="24"/>
          <w:lang w:val="en-US"/>
        </w:rPr>
        <w:t>X5247</w:t>
      </w:r>
      <w:r>
        <w:rPr>
          <w:sz w:val="24"/>
          <w:szCs w:val="24"/>
          <w:lang w:val="en-US"/>
        </w:rPr>
        <w:t xml:space="preserve">, showed activity against the Gram-positive bacterium </w:t>
      </w:r>
      <w:r>
        <w:rPr>
          <w:i/>
          <w:sz w:val="24"/>
          <w:szCs w:val="24"/>
          <w:lang w:val="en-US"/>
        </w:rPr>
        <w:t>Staphylococcus aureus</w:t>
      </w:r>
      <w:r>
        <w:rPr>
          <w:sz w:val="24"/>
          <w:szCs w:val="24"/>
          <w:lang w:val="en-US"/>
        </w:rPr>
        <w:t xml:space="preserve"> in the Primary Screening at a single concentration of 32 µM. In the subsequent Secondary Screening/ Hit Confirmation, the compound X5247 was able to inhibit the growth of </w:t>
      </w:r>
      <w:r>
        <w:rPr>
          <w:i/>
          <w:sz w:val="24"/>
          <w:szCs w:val="24"/>
          <w:lang w:val="en-US"/>
        </w:rPr>
        <w:t>Staphylococcus aureus</w:t>
      </w:r>
      <w:r>
        <w:rPr>
          <w:sz w:val="24"/>
          <w:szCs w:val="24"/>
          <w:lang w:val="en-US"/>
        </w:rPr>
        <w:t xml:space="preserve"> at a minimal concentration of 10 µM. However, it proved to be toxic against HEK293 cells below concentrations of approximately 5 µM, which makes it unsuitable for further development as a therapeutic agent. </w:t>
      </w:r>
    </w:p>
    <w:p>
      <w:pPr>
        <w:pStyle w:val="16"/>
        <w:ind w:left="0"/>
        <w:jc w:val="both"/>
        <w:rPr>
          <w:sz w:val="24"/>
          <w:szCs w:val="24"/>
          <w:lang w:val="en-US"/>
        </w:rPr>
      </w:pPr>
      <w:r>
        <w:rPr>
          <w:sz w:val="24"/>
          <w:szCs w:val="24"/>
          <w:lang w:val="en-US"/>
        </w:rPr>
        <w:t xml:space="preserve">The compounds that did not show any activity in the Primary Screening, were not further tested with regard to toxicity (n.t.). </w:t>
      </w:r>
    </w:p>
    <w:p>
      <w:pPr>
        <w:pStyle w:val="16"/>
        <w:ind w:left="0"/>
        <w:jc w:val="both"/>
        <w:rPr>
          <w:sz w:val="24"/>
          <w:szCs w:val="24"/>
          <w:lang w:val="en-US"/>
        </w:rPr>
      </w:pPr>
    </w:p>
    <w:p>
      <w:pPr>
        <w:spacing w:after="0"/>
        <w:rPr>
          <w:lang w:val="en-US"/>
        </w:rPr>
      </w:pPr>
    </w:p>
    <w:p>
      <w:pPr>
        <w:rPr>
          <w:sz w:val="24"/>
          <w:lang w:val="en-US"/>
        </w:rPr>
      </w:pPr>
    </w:p>
    <w:sectPr>
      <w:pgSz w:w="11906" w:h="16838"/>
      <w:pgMar w:top="1417" w:right="1274" w:bottom="1134" w:left="1276"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mbria">
    <w:altName w:val="Caladea"/>
    <w:panose1 w:val="02040503050406030204"/>
    <w:charset w:val="00"/>
    <w:family w:val="roman"/>
    <w:pitch w:val="default"/>
    <w:sig w:usb0="00000000" w:usb1="00000000" w:usb2="02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esint10">
    <w:panose1 w:val="02000503000000000000"/>
    <w:charset w:val="00"/>
    <w:family w:val="auto"/>
    <w:pitch w:val="default"/>
    <w:sig w:usb0="00000003" w:usb1="00000000" w:usb2="00000000" w:usb3="00000000" w:csb0="40000001" w:csb1="80D40000"/>
  </w:font>
  <w:font w:name="DejaVu Sans">
    <w:panose1 w:val="020B0603030804020204"/>
    <w:charset w:val="86"/>
    <w:family w:val="swiss"/>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 w:name="Ubuntu">
    <w:panose1 w:val="020B0604030602030204"/>
    <w:charset w:val="00"/>
    <w:family w:val="auto"/>
    <w:pitch w:val="default"/>
    <w:sig w:usb0="E00002FF" w:usb1="5000205B" w:usb2="00000000" w:usb3="00000000" w:csb0="2000009F" w:csb1="5601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pacing w:after="0"/>
      <w:jc w:val="right"/>
      <w:rPr>
        <w:b/>
        <w:lang w:val="en-US"/>
      </w:rPr>
    </w:pPr>
    <w:r>
      <w:tab/>
    </w:r>
    <w:r>
      <w:tab/>
    </w:r>
    <w:r>
      <w:tab/>
    </w:r>
    <w:r>
      <w:tab/>
    </w:r>
    <w:r>
      <w:tab/>
    </w:r>
    <w:r>
      <w:tab/>
    </w:r>
    <w:r>
      <w:tab/>
    </w:r>
    <w:r>
      <w:tab/>
    </w:r>
    <w:r>
      <w:rPr>
        <w:b/>
        <w:lang w:val="en-US"/>
      </w:rPr>
      <w:t>2018-08-23</w:t>
    </w:r>
  </w:p>
  <w:p>
    <w:pPr>
      <w:pBdr>
        <w:bottom w:val="single" w:color="auto" w:sz="4" w:space="1"/>
      </w:pBdr>
      <w:spacing w:after="0"/>
      <w:jc w:val="right"/>
      <w:rPr>
        <w:b/>
        <w:lang w:val="en-US"/>
      </w:rPr>
    </w:pPr>
    <w:r>
      <w:rPr>
        <w:b/>
        <w:lang w:val="en-US"/>
      </w:rPr>
      <w:t>R-020</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77"/>
    <w:rsid w:val="00002AC5"/>
    <w:rsid w:val="00016581"/>
    <w:rsid w:val="00017ED1"/>
    <w:rsid w:val="00022DF1"/>
    <w:rsid w:val="00047E97"/>
    <w:rsid w:val="00064227"/>
    <w:rsid w:val="00066AFB"/>
    <w:rsid w:val="00072966"/>
    <w:rsid w:val="00093C10"/>
    <w:rsid w:val="000B3876"/>
    <w:rsid w:val="000B7E6E"/>
    <w:rsid w:val="000D027B"/>
    <w:rsid w:val="000E3413"/>
    <w:rsid w:val="000E3EB7"/>
    <w:rsid w:val="000F281E"/>
    <w:rsid w:val="001032A2"/>
    <w:rsid w:val="00106230"/>
    <w:rsid w:val="00120B85"/>
    <w:rsid w:val="00130A11"/>
    <w:rsid w:val="00134DC6"/>
    <w:rsid w:val="0013761F"/>
    <w:rsid w:val="00153683"/>
    <w:rsid w:val="00157A27"/>
    <w:rsid w:val="001621AD"/>
    <w:rsid w:val="00187F1B"/>
    <w:rsid w:val="001C1ED7"/>
    <w:rsid w:val="001D485C"/>
    <w:rsid w:val="001E6955"/>
    <w:rsid w:val="001F35AC"/>
    <w:rsid w:val="001F63AA"/>
    <w:rsid w:val="00224F24"/>
    <w:rsid w:val="00226955"/>
    <w:rsid w:val="00232C41"/>
    <w:rsid w:val="002331DB"/>
    <w:rsid w:val="002357EB"/>
    <w:rsid w:val="002437F7"/>
    <w:rsid w:val="00245FEE"/>
    <w:rsid w:val="00253DBE"/>
    <w:rsid w:val="002606B5"/>
    <w:rsid w:val="00267F3B"/>
    <w:rsid w:val="00286F0D"/>
    <w:rsid w:val="00292186"/>
    <w:rsid w:val="002A049B"/>
    <w:rsid w:val="002A2DF8"/>
    <w:rsid w:val="002A416D"/>
    <w:rsid w:val="002B0FDE"/>
    <w:rsid w:val="002B73B9"/>
    <w:rsid w:val="002C2ECE"/>
    <w:rsid w:val="002C5AAC"/>
    <w:rsid w:val="002C7B3E"/>
    <w:rsid w:val="002D3E8B"/>
    <w:rsid w:val="002D7C76"/>
    <w:rsid w:val="002E0CB9"/>
    <w:rsid w:val="002E20F2"/>
    <w:rsid w:val="002E5029"/>
    <w:rsid w:val="002E5FCD"/>
    <w:rsid w:val="003066C5"/>
    <w:rsid w:val="00316D14"/>
    <w:rsid w:val="00326C26"/>
    <w:rsid w:val="0034503E"/>
    <w:rsid w:val="00352431"/>
    <w:rsid w:val="00355255"/>
    <w:rsid w:val="003769A0"/>
    <w:rsid w:val="00386C38"/>
    <w:rsid w:val="00391467"/>
    <w:rsid w:val="003936E2"/>
    <w:rsid w:val="003C37E9"/>
    <w:rsid w:val="003D1B21"/>
    <w:rsid w:val="003D4977"/>
    <w:rsid w:val="003D6E50"/>
    <w:rsid w:val="003E0717"/>
    <w:rsid w:val="003E156E"/>
    <w:rsid w:val="004142E2"/>
    <w:rsid w:val="00423AA6"/>
    <w:rsid w:val="004426E4"/>
    <w:rsid w:val="004448F2"/>
    <w:rsid w:val="004661AE"/>
    <w:rsid w:val="00467E5C"/>
    <w:rsid w:val="004759A8"/>
    <w:rsid w:val="004844FA"/>
    <w:rsid w:val="004A0F1A"/>
    <w:rsid w:val="004B6326"/>
    <w:rsid w:val="004B77FA"/>
    <w:rsid w:val="004C66B3"/>
    <w:rsid w:val="004D344A"/>
    <w:rsid w:val="004D50BE"/>
    <w:rsid w:val="004E55D6"/>
    <w:rsid w:val="004F6F63"/>
    <w:rsid w:val="004F7181"/>
    <w:rsid w:val="0050192B"/>
    <w:rsid w:val="00511C74"/>
    <w:rsid w:val="00540EBB"/>
    <w:rsid w:val="0054686D"/>
    <w:rsid w:val="00564B98"/>
    <w:rsid w:val="00572823"/>
    <w:rsid w:val="00577D94"/>
    <w:rsid w:val="0058020B"/>
    <w:rsid w:val="00585312"/>
    <w:rsid w:val="00591A27"/>
    <w:rsid w:val="00591DCE"/>
    <w:rsid w:val="005A0A00"/>
    <w:rsid w:val="005A0E0E"/>
    <w:rsid w:val="005A0F46"/>
    <w:rsid w:val="005A3715"/>
    <w:rsid w:val="005C254B"/>
    <w:rsid w:val="005C58BE"/>
    <w:rsid w:val="00603DEC"/>
    <w:rsid w:val="00605CA0"/>
    <w:rsid w:val="00610C03"/>
    <w:rsid w:val="006110CC"/>
    <w:rsid w:val="00631AC7"/>
    <w:rsid w:val="00641E88"/>
    <w:rsid w:val="00642BB9"/>
    <w:rsid w:val="00657DD3"/>
    <w:rsid w:val="006619B6"/>
    <w:rsid w:val="006714B6"/>
    <w:rsid w:val="00682C21"/>
    <w:rsid w:val="00690985"/>
    <w:rsid w:val="00692A4B"/>
    <w:rsid w:val="006970E4"/>
    <w:rsid w:val="006A1ACC"/>
    <w:rsid w:val="006A29BD"/>
    <w:rsid w:val="006A38BB"/>
    <w:rsid w:val="006B582C"/>
    <w:rsid w:val="006D1F30"/>
    <w:rsid w:val="006E323E"/>
    <w:rsid w:val="006E6FC7"/>
    <w:rsid w:val="006F37EE"/>
    <w:rsid w:val="00700597"/>
    <w:rsid w:val="00702D51"/>
    <w:rsid w:val="007036B1"/>
    <w:rsid w:val="00717404"/>
    <w:rsid w:val="00723FA4"/>
    <w:rsid w:val="007311D4"/>
    <w:rsid w:val="007315C5"/>
    <w:rsid w:val="00732B3D"/>
    <w:rsid w:val="00750E0F"/>
    <w:rsid w:val="00754A70"/>
    <w:rsid w:val="00755FFC"/>
    <w:rsid w:val="00767B20"/>
    <w:rsid w:val="00772F70"/>
    <w:rsid w:val="007747EE"/>
    <w:rsid w:val="00775409"/>
    <w:rsid w:val="00775D63"/>
    <w:rsid w:val="007C1FA0"/>
    <w:rsid w:val="007C6E94"/>
    <w:rsid w:val="007D1C8D"/>
    <w:rsid w:val="007D5566"/>
    <w:rsid w:val="007D5923"/>
    <w:rsid w:val="007F7C02"/>
    <w:rsid w:val="00802115"/>
    <w:rsid w:val="00810598"/>
    <w:rsid w:val="008110C1"/>
    <w:rsid w:val="008130D0"/>
    <w:rsid w:val="008258FB"/>
    <w:rsid w:val="00832AE2"/>
    <w:rsid w:val="0086150B"/>
    <w:rsid w:val="008714C4"/>
    <w:rsid w:val="008728CF"/>
    <w:rsid w:val="0087400E"/>
    <w:rsid w:val="00877A65"/>
    <w:rsid w:val="00893236"/>
    <w:rsid w:val="008B0AC4"/>
    <w:rsid w:val="008B2593"/>
    <w:rsid w:val="008B7905"/>
    <w:rsid w:val="008F1B77"/>
    <w:rsid w:val="008F2B6E"/>
    <w:rsid w:val="008F5AA6"/>
    <w:rsid w:val="00912EAF"/>
    <w:rsid w:val="00924424"/>
    <w:rsid w:val="009247C1"/>
    <w:rsid w:val="0092734F"/>
    <w:rsid w:val="0093333F"/>
    <w:rsid w:val="00943114"/>
    <w:rsid w:val="009473B2"/>
    <w:rsid w:val="009639D3"/>
    <w:rsid w:val="00967EE6"/>
    <w:rsid w:val="00980E77"/>
    <w:rsid w:val="0098220A"/>
    <w:rsid w:val="009A6B20"/>
    <w:rsid w:val="009B381C"/>
    <w:rsid w:val="009D23DE"/>
    <w:rsid w:val="009D6ACF"/>
    <w:rsid w:val="009D7FEB"/>
    <w:rsid w:val="009E09EE"/>
    <w:rsid w:val="009E1233"/>
    <w:rsid w:val="009F35FB"/>
    <w:rsid w:val="009F3A4A"/>
    <w:rsid w:val="00A02DE6"/>
    <w:rsid w:val="00A034DF"/>
    <w:rsid w:val="00A05A46"/>
    <w:rsid w:val="00A301B0"/>
    <w:rsid w:val="00A32C12"/>
    <w:rsid w:val="00A62D3E"/>
    <w:rsid w:val="00A6614E"/>
    <w:rsid w:val="00A66451"/>
    <w:rsid w:val="00A70396"/>
    <w:rsid w:val="00A85DC3"/>
    <w:rsid w:val="00A86B6B"/>
    <w:rsid w:val="00A94116"/>
    <w:rsid w:val="00A9726C"/>
    <w:rsid w:val="00AA401C"/>
    <w:rsid w:val="00AB2166"/>
    <w:rsid w:val="00AE2680"/>
    <w:rsid w:val="00AE661D"/>
    <w:rsid w:val="00AF6232"/>
    <w:rsid w:val="00B02F64"/>
    <w:rsid w:val="00B20E02"/>
    <w:rsid w:val="00B2261B"/>
    <w:rsid w:val="00B256F8"/>
    <w:rsid w:val="00B30DEE"/>
    <w:rsid w:val="00B31D32"/>
    <w:rsid w:val="00B572B8"/>
    <w:rsid w:val="00B62DBF"/>
    <w:rsid w:val="00B7375B"/>
    <w:rsid w:val="00B86EE1"/>
    <w:rsid w:val="00B9394A"/>
    <w:rsid w:val="00BA79C4"/>
    <w:rsid w:val="00BB3518"/>
    <w:rsid w:val="00BB3571"/>
    <w:rsid w:val="00BB7BE6"/>
    <w:rsid w:val="00BC03F2"/>
    <w:rsid w:val="00BC0DFD"/>
    <w:rsid w:val="00BD1AF5"/>
    <w:rsid w:val="00BD647C"/>
    <w:rsid w:val="00BF2EDA"/>
    <w:rsid w:val="00C10D88"/>
    <w:rsid w:val="00C13FC4"/>
    <w:rsid w:val="00C14F39"/>
    <w:rsid w:val="00C20CA2"/>
    <w:rsid w:val="00C301D9"/>
    <w:rsid w:val="00C51DFF"/>
    <w:rsid w:val="00C52F2E"/>
    <w:rsid w:val="00C566AB"/>
    <w:rsid w:val="00C80012"/>
    <w:rsid w:val="00C83C75"/>
    <w:rsid w:val="00C957E2"/>
    <w:rsid w:val="00CB01E5"/>
    <w:rsid w:val="00CB7919"/>
    <w:rsid w:val="00CB7E56"/>
    <w:rsid w:val="00CC4E9E"/>
    <w:rsid w:val="00CD144F"/>
    <w:rsid w:val="00CE0614"/>
    <w:rsid w:val="00CE1933"/>
    <w:rsid w:val="00CF0192"/>
    <w:rsid w:val="00D06D7C"/>
    <w:rsid w:val="00D12CE4"/>
    <w:rsid w:val="00D273CE"/>
    <w:rsid w:val="00D40CCF"/>
    <w:rsid w:val="00D450ED"/>
    <w:rsid w:val="00D50134"/>
    <w:rsid w:val="00D516B2"/>
    <w:rsid w:val="00D8310E"/>
    <w:rsid w:val="00D83D24"/>
    <w:rsid w:val="00D8485E"/>
    <w:rsid w:val="00D94C75"/>
    <w:rsid w:val="00D96C5C"/>
    <w:rsid w:val="00DA1263"/>
    <w:rsid w:val="00DB0667"/>
    <w:rsid w:val="00DB3DF9"/>
    <w:rsid w:val="00DC01D9"/>
    <w:rsid w:val="00DC3212"/>
    <w:rsid w:val="00DC6E16"/>
    <w:rsid w:val="00DC7B8F"/>
    <w:rsid w:val="00DD539B"/>
    <w:rsid w:val="00DE548C"/>
    <w:rsid w:val="00DF17F0"/>
    <w:rsid w:val="00E00447"/>
    <w:rsid w:val="00E01295"/>
    <w:rsid w:val="00E0212A"/>
    <w:rsid w:val="00E12246"/>
    <w:rsid w:val="00E15E26"/>
    <w:rsid w:val="00E24B5D"/>
    <w:rsid w:val="00E25293"/>
    <w:rsid w:val="00E26576"/>
    <w:rsid w:val="00E63625"/>
    <w:rsid w:val="00EA62A8"/>
    <w:rsid w:val="00EC0C0F"/>
    <w:rsid w:val="00ED7A5C"/>
    <w:rsid w:val="00EF02DD"/>
    <w:rsid w:val="00EF7A3E"/>
    <w:rsid w:val="00F134DB"/>
    <w:rsid w:val="00F23EA6"/>
    <w:rsid w:val="00F27766"/>
    <w:rsid w:val="00F31465"/>
    <w:rsid w:val="00F31F0D"/>
    <w:rsid w:val="00F350B9"/>
    <w:rsid w:val="00F37E4F"/>
    <w:rsid w:val="00F42EB3"/>
    <w:rsid w:val="00F62A81"/>
    <w:rsid w:val="00F65C16"/>
    <w:rsid w:val="00F66D03"/>
    <w:rsid w:val="00F74D82"/>
    <w:rsid w:val="00F92F64"/>
    <w:rsid w:val="00F9712E"/>
    <w:rsid w:val="00FB4D96"/>
    <w:rsid w:val="00FC4F8D"/>
    <w:rsid w:val="00FC6B68"/>
    <w:rsid w:val="00FD307A"/>
    <w:rsid w:val="00FD6A03"/>
    <w:rsid w:val="00FE2E70"/>
    <w:rsid w:val="00FF6F67"/>
    <w:rsid w:val="00FF78BE"/>
    <w:rsid w:val="6EFBA150"/>
    <w:rsid w:val="9DBFDF97"/>
    <w:rsid w:val="FBDFDDD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de-DE"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7"/>
    <w:semiHidden/>
    <w:unhideWhenUsed/>
    <w:uiPriority w:val="99"/>
    <w:pPr>
      <w:spacing w:after="0" w:line="240" w:lineRule="auto"/>
    </w:pPr>
    <w:rPr>
      <w:rFonts w:ascii="Tahoma" w:hAnsi="Tahoma" w:cs="Tahoma"/>
      <w:sz w:val="16"/>
      <w:szCs w:val="16"/>
    </w:rPr>
  </w:style>
  <w:style w:type="paragraph" w:styleId="5">
    <w:name w:val="footer"/>
    <w:basedOn w:val="1"/>
    <w:link w:val="19"/>
    <w:unhideWhenUsed/>
    <w:uiPriority w:val="99"/>
    <w:pPr>
      <w:tabs>
        <w:tab w:val="center" w:pos="4536"/>
        <w:tab w:val="right" w:pos="9072"/>
      </w:tabs>
      <w:spacing w:after="0" w:line="240" w:lineRule="auto"/>
    </w:pPr>
  </w:style>
  <w:style w:type="paragraph" w:styleId="6">
    <w:name w:val="header"/>
    <w:basedOn w:val="1"/>
    <w:link w:val="18"/>
    <w:unhideWhenUsed/>
    <w:uiPriority w:val="99"/>
    <w:pPr>
      <w:tabs>
        <w:tab w:val="center" w:pos="4536"/>
        <w:tab w:val="right" w:pos="9072"/>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de-DE"/>
    </w:rPr>
  </w:style>
  <w:style w:type="paragraph" w:styleId="8">
    <w:name w:val="Subtitle"/>
    <w:basedOn w:val="1"/>
    <w:next w:val="1"/>
    <w:link w:val="23"/>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20"/>
    </w:pPr>
  </w:style>
  <w:style w:type="character" w:styleId="12">
    <w:name w:val="Hyperlink"/>
    <w:basedOn w:val="11"/>
    <w:unhideWhenUsed/>
    <w:uiPriority w:val="99"/>
    <w:rPr>
      <w:color w:val="0000FF" w:themeColor="hyperlink"/>
      <w:u w:val="single"/>
      <w14:textFill>
        <w14:solidFill>
          <w14:schemeClr w14:val="hlink"/>
        </w14:solidFill>
      </w14:textFill>
    </w:rPr>
  </w:style>
  <w:style w:type="table" w:styleId="14">
    <w:name w:val="Table Grid"/>
    <w:basedOn w:val="1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Shading Accent 1"/>
    <w:basedOn w:val="1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paragraph" w:styleId="16">
    <w:name w:val="List Paragraph"/>
    <w:basedOn w:val="1"/>
    <w:qFormat/>
    <w:uiPriority w:val="34"/>
    <w:pPr>
      <w:ind w:left="720"/>
      <w:contextualSpacing/>
    </w:pPr>
  </w:style>
  <w:style w:type="character" w:customStyle="1" w:styleId="17">
    <w:name w:val="Sprechblasentext Zchn"/>
    <w:basedOn w:val="11"/>
    <w:link w:val="4"/>
    <w:semiHidden/>
    <w:uiPriority w:val="99"/>
    <w:rPr>
      <w:rFonts w:ascii="Tahoma" w:hAnsi="Tahoma" w:cs="Tahoma"/>
      <w:sz w:val="16"/>
      <w:szCs w:val="16"/>
    </w:rPr>
  </w:style>
  <w:style w:type="character" w:customStyle="1" w:styleId="18">
    <w:name w:val="Kopfzeile Zchn"/>
    <w:basedOn w:val="11"/>
    <w:link w:val="6"/>
    <w:uiPriority w:val="99"/>
  </w:style>
  <w:style w:type="character" w:customStyle="1" w:styleId="19">
    <w:name w:val="Fußzeile Zchn"/>
    <w:basedOn w:val="11"/>
    <w:link w:val="5"/>
    <w:uiPriority w:val="99"/>
  </w:style>
  <w:style w:type="character" w:customStyle="1" w:styleId="20">
    <w:name w:val="Überschrift 1 Zchn"/>
    <w:basedOn w:val="11"/>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1">
    <w:name w:val="TOC Heading"/>
    <w:basedOn w:val="2"/>
    <w:next w:val="1"/>
    <w:semiHidden/>
    <w:unhideWhenUsed/>
    <w:qFormat/>
    <w:uiPriority w:val="39"/>
    <w:pPr>
      <w:outlineLvl w:val="9"/>
    </w:pPr>
    <w:rPr>
      <w:lang w:val="en-US" w:eastAsia="ja-JP"/>
    </w:rPr>
  </w:style>
  <w:style w:type="character" w:customStyle="1" w:styleId="22">
    <w:name w:val="Überschrift 2 Zchn"/>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Untertitel Zchn"/>
    <w:basedOn w:val="11"/>
    <w:link w:val="8"/>
    <w:uiPriority w:val="11"/>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emf"/><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803</Words>
  <Characters>5061</Characters>
  <Lines>42</Lines>
  <Paragraphs>11</Paragraphs>
  <TotalTime>1</TotalTime>
  <ScaleCrop>false</ScaleCrop>
  <LinksUpToDate>false</LinksUpToDate>
  <CharactersWithSpaces>5853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2022-06-24T09:34:00Z</dcterms:created>
  <dc:creator>Jung, Nicole (IOC)</dc:creator>
  <cp:lastModifiedBy>konrad</cp:lastModifiedBy>
  <cp:lastPrinted>2018-02-26T13:31:00Z</cp:lastPrinted>
  <dcterms:modified xsi:type="dcterms:W3CDTF">2022-09-16T10:20:08Z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