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/>
      </w:pPr>
      <w:r>
        <w:rPr/>
        <w:t>«=s.mass_unit»«objs:each(obj)»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«obj.is_reaction:if»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Arial" w:hAnsi="Arial"/>
          <w:b/>
          <w:color w:val="2E74B5"/>
          <w:sz w:val="22"/>
          <w:szCs w:val="22"/>
        </w:rPr>
        <w:t>«=obj.short_label»</w:t>
      </w:r>
      <w:r>
        <mc:AlternateContent>
          <mc:Choice Requires="wps">
            <w:drawing>
              <wp:anchor behindDoc="0" distT="0" distB="47625" distL="0" distR="27305" simplePos="0" locked="0" layoutInCell="0" allowOverlap="1" relativeHeight="3">
                <wp:simplePos x="0" y="0"/>
                <wp:positionH relativeFrom="column">
                  <wp:posOffset>-65405</wp:posOffset>
                </wp:positionH>
                <wp:positionV relativeFrom="paragraph">
                  <wp:posOffset>197485</wp:posOffset>
                </wp:positionV>
                <wp:extent cx="5713095" cy="3810"/>
                <wp:effectExtent l="635" t="3810" r="0" b="381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15pt,15.55pt" to="444.65pt,15.8pt" ID="Straight Connector 1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b/>
          <w:color w:val="2E74B5"/>
          <w:sz w:val="22"/>
          <w:szCs w:val="22"/>
        </w:rPr>
        <w:t xml:space="preserve">  Reaction: «=obj.title»   </w:t>
      </w:r>
      <w:r>
        <w:rPr>
          <w:rFonts w:cs="Arial" w:ascii="Arial" w:hAnsi="Arial"/>
          <w:sz w:val="16"/>
          <w:szCs w:val="16"/>
        </w:rPr>
        <w:t>«@obj.status:start»</w:t>
      </w:r>
      <w:r>
        <w:rPr/>
        <w:drawing>
          <wp:inline distT="0" distB="0" distL="0" distR="0">
            <wp:extent cx="903605" cy="1797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16"/>
          <w:szCs w:val="16"/>
        </w:rPr>
        <w:t>«@obj.status:end»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Arial" w:hAnsi="Arial"/>
          <w:b/>
          <w:sz w:val="22"/>
          <w:szCs w:val="22"/>
        </w:rPr>
        <w:t>Collections:</w:t>
      </w:r>
      <w:r>
        <w:rPr>
          <w:rFonts w:cs="Arial" w:ascii="Arial" w:hAnsi="Arial"/>
          <w:sz w:val="22"/>
          <w:szCs w:val="22"/>
        </w:rPr>
        <w:t xml:space="preserve"> </w:t>
      </w:r>
      <w:r>
        <w:rPr/>
        <w:t>«=obj.collections»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«rxn_settings.diagram:if»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«configs.whole_diagram:if»</w:t>
      </w:r>
    </w:p>
    <w:p>
      <w:pPr>
        <w:pStyle w:val="Normal"/>
        <w:jc w:val="center"/>
        <w:rPr/>
      </w:pPr>
      <w:r>
        <w:rPr>
          <w:rFonts w:cs="Arial" w:ascii="Arial" w:hAnsi="Arial"/>
        </w:rPr>
        <w:t>«$$obj.equation_reaction:start»</w:t>
      </w:r>
      <w:r>
        <w:rPr/>
        <w:object w:dxaOrig="2835" w:dyaOrig="2835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453.5pt;height:129pt;mso-wrap-distance-right:0pt" filled="f" o:ole="">
            <v:imagedata r:id="rId4" o:title=""/>
          </v:shape>
          <o:OLEObject Type="Embed" ProgID="" ShapeID="ole_rId3" DrawAspect="Content" ObjectID="_2006156900" r:id="rId3"/>
        </w:object>
      </w:r>
      <w:r>
        <w:rPr>
          <w:rFonts w:cs="Arial" w:ascii="Arial" w:hAnsi="Arial"/>
        </w:rPr>
        <w:t>«$$obj.equation_reaction:end»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«configs.whole_diagram:endIf»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«configs.product_diagram:if»</w:t>
      </w:r>
    </w:p>
    <w:p>
      <w:pPr>
        <w:pStyle w:val="Normal"/>
        <w:jc w:val="center"/>
        <w:rPr/>
      </w:pPr>
      <w:r>
        <w:rPr>
          <w:rFonts w:cs="Arial" w:ascii="Arial" w:hAnsi="Arial"/>
        </w:rPr>
        <w:t>«$$obj.equation_products:start»</w:t>
      </w:r>
      <w:r>
        <w:rPr/>
        <w:object w:dxaOrig="2835" w:dyaOrig="2835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453.5pt;height:129pt;mso-wrap-distance-right:0pt" filled="f" o:ole="">
            <v:imagedata r:id="rId6" o:title=""/>
          </v:shape>
          <o:OLEObject Type="Embed" ProgID="" ShapeID="ole_rId5" DrawAspect="Content" ObjectID="_441537178" r:id="rId5"/>
        </w:object>
      </w:r>
      <w:r>
        <w:rPr>
          <w:rFonts w:cs="Arial" w:ascii="Arial" w:hAnsi="Arial"/>
        </w:rPr>
        <w:t>«$$obj.equation_products:end»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«configs.product_diagram:endIf»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«rxn_settings.diagram:endIf»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«rxn_settings.material:if»</w:t>
      </w:r>
    </w:p>
    <w:tbl>
      <w:tblPr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"/>
        <w:gridCol w:w="1531"/>
        <w:gridCol w:w="1192"/>
        <w:gridCol w:w="1076"/>
        <w:gridCol w:w="1247"/>
        <w:gridCol w:w="1418"/>
        <w:gridCol w:w="1077"/>
        <w:gridCol w:w="1135"/>
      </w:tblGrid>
      <w:tr>
        <w:trPr>
          <w:trHeight w:val="566" w:hRule="atLeast"/>
        </w:trPr>
        <w:tc>
          <w:tcPr>
            <w:tcW w:w="33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24"/>
                <w:szCs w:val="24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24"/>
                <w:szCs w:val="24"/>
                <w:lang w:val="en-US" w:eastAsia="zh-TW" w:bidi="ar-SA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Formula</w:t>
            </w:r>
          </w:p>
        </w:tc>
        <w:tc>
          <w:tcPr>
            <w:tcW w:w="119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Mol mass</w:t>
            </w:r>
          </w:p>
        </w:tc>
        <w:tc>
          <w:tcPr>
            <w:tcW w:w="10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Mass</w:t>
            </w:r>
          </w:p>
        </w:tc>
        <w:tc>
          <w:tcPr>
            <w:tcW w:w="124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Volume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mc:AlternateContent>
                <mc:Choice Requires="wps">
                  <w:drawing>
                    <wp:anchor behindDoc="0" distT="0" distB="25400" distL="0" distR="31750" simplePos="0" locked="0" layoutInCell="0" allowOverlap="1" relativeHeight="5">
                      <wp:simplePos x="0" y="0"/>
                      <wp:positionH relativeFrom="column">
                        <wp:posOffset>-3458210</wp:posOffset>
                      </wp:positionH>
                      <wp:positionV relativeFrom="paragraph">
                        <wp:posOffset>289560</wp:posOffset>
                      </wp:positionV>
                      <wp:extent cx="5760085" cy="0"/>
                      <wp:effectExtent l="0" t="6985" r="0" b="6985"/>
                      <wp:wrapNone/>
                      <wp:docPr id="3" name="Straight Con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5b9bd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72.3pt,22.8pt" to="181.2pt,22.8pt" ID="Straight Connector 5" stroked="t" o:allowincell="f" style="position:absolute">
                      <v:stroke color="#5b9bd5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Density [g/mL]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Amount of Substance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新細明體"/>
                <w:kern w:val="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Equiv/</w:t>
            </w:r>
            <w:r>
              <w:rPr>
                <w:rFonts w:eastAsia="新細明體" w:cs="Arial" w:ascii="Arial" w:hAnsi="Arial"/>
                <w:color w:val="FF0000"/>
                <w:kern w:val="0"/>
                <w:sz w:val="18"/>
                <w:szCs w:val="18"/>
                <w:lang w:val="en-US" w:eastAsia="zh-TW" w:bidi="ar-SA"/>
              </w:rPr>
              <w:t>yield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«obj.starting_materials:each(s)»</w:t>
      </w:r>
    </w:p>
    <w:p>
      <w:pPr>
        <w:pStyle w:val="Normal"/>
        <w:rPr/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  <w:color w:val="000000"/>
          <w:sz w:val="18"/>
          <w:szCs w:val="18"/>
        </w:rPr>
        <w:t>«=s.iupac_name»  («=s.short_label»)</w:t>
      </w:r>
    </w:p>
    <w:tbl>
      <w:tblPr>
        <w:tblW w:w="90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1542"/>
        <w:gridCol w:w="1191"/>
        <w:gridCol w:w="1134"/>
        <w:gridCol w:w="1203"/>
        <w:gridCol w:w="1361"/>
        <w:gridCol w:w="1134"/>
        <w:gridCol w:w="1135"/>
      </w:tblGrid>
      <w:tr>
        <w:trPr>
          <w:trHeight w:val="255" w:hRule="atLeast"/>
        </w:trPr>
        <w:tc>
          <w:tcPr>
            <w:tcW w:w="3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color w:val="2E74B5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color w:val="2E74B5"/>
                <w:kern w:val="0"/>
                <w:sz w:val="18"/>
                <w:szCs w:val="18"/>
                <w:lang w:val="en-US" w:eastAsia="zh-TW" w:bidi="ar-SA"/>
              </w:rPr>
              <w:t>S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color w:val="2E74B5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color w:val="2E74B5"/>
                <w:kern w:val="0"/>
                <w:sz w:val="18"/>
                <w:szCs w:val="18"/>
                <w:lang w:val="en-US" w:eastAsia="zh-TW" w:bidi="ar-SA"/>
              </w:rPr>
              <w:t>«=s.formular»</w:t>
            </w:r>
          </w:p>
        </w:tc>
        <w:tc>
          <w:tcPr>
            <w:tcW w:w="119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«=s.mol_w»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新細明體"/>
                <w:kern w:val="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b/>
                <w:kern w:val="0"/>
                <w:sz w:val="18"/>
                <w:szCs w:val="18"/>
                <w:lang w:val="en-US" w:eastAsia="zh-TW" w:bidi="ar-SA"/>
              </w:rPr>
              <w:t>«=s.mass» «=s.mass_unit»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新細明體"/>
                <w:kern w:val="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«=s.vol» «=s.vol_unit»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«=s.density»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新細明體"/>
                <w:kern w:val="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«=s.mol» «=s.mmol_unit»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«=s.equiv»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«obj.starting_materials:endEach»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«obj.reactants:each(r)»</w:t>
      </w:r>
    </w:p>
    <w:p>
      <w:pPr>
        <w:pStyle w:val="Normal"/>
        <w:rPr/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  <w:color w:val="000000"/>
          <w:sz w:val="18"/>
          <w:szCs w:val="18"/>
        </w:rPr>
        <w:t>«=r.iupac_name»  («=r.short_label»)</w:t>
      </w:r>
    </w:p>
    <w:tbl>
      <w:tblPr>
        <w:tblW w:w="90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"/>
        <w:gridCol w:w="1524"/>
        <w:gridCol w:w="1190"/>
        <w:gridCol w:w="1134"/>
        <w:gridCol w:w="1217"/>
        <w:gridCol w:w="1360"/>
        <w:gridCol w:w="1135"/>
        <w:gridCol w:w="1134"/>
      </w:tblGrid>
      <w:tr>
        <w:trPr>
          <w:trHeight w:val="255" w:hRule="atLeast"/>
        </w:trPr>
        <w:tc>
          <w:tcPr>
            <w:tcW w:w="34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color w:val="C45911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color w:val="C45911"/>
                <w:kern w:val="0"/>
                <w:sz w:val="18"/>
                <w:szCs w:val="18"/>
                <w:lang w:val="en-US" w:eastAsia="zh-TW" w:bidi="ar-SA"/>
              </w:rPr>
              <w:t>R</w:t>
            </w:r>
          </w:p>
        </w:tc>
        <w:tc>
          <w:tcPr>
            <w:tcW w:w="152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color w:val="C45911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color w:val="C45911"/>
                <w:kern w:val="0"/>
                <w:sz w:val="18"/>
                <w:szCs w:val="18"/>
                <w:lang w:val="en-US" w:eastAsia="zh-TW" w:bidi="ar-SA"/>
              </w:rPr>
              <w:t>«=r.formular»</w:t>
            </w:r>
          </w:p>
        </w:tc>
        <w:tc>
          <w:tcPr>
            <w:tcW w:w="119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«=r.mol_w»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新細明體"/>
                <w:kern w:val="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b/>
                <w:kern w:val="0"/>
                <w:sz w:val="18"/>
                <w:szCs w:val="18"/>
                <w:lang w:val="en-US" w:eastAsia="zh-TW" w:bidi="ar-SA"/>
              </w:rPr>
              <w:t>«=r.mass» «=r.mass_unit»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新細明體"/>
                <w:kern w:val="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«=r.vol» «=r.vol_unit»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«=r.density»</w:t>
            </w:r>
          </w:p>
        </w:tc>
        <w:tc>
          <w:tcPr>
            <w:tcW w:w="11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新細明體"/>
                <w:kern w:val="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«=r.mol» «=r.mmol_unit»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«=r.equiv»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«obj.reactants:endEach»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«obj.products:each(p)»</w:t>
      </w:r>
    </w:p>
    <w:p>
      <w:pPr>
        <w:pStyle w:val="Normal"/>
        <w:rPr/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  <w:color w:val="000000"/>
          <w:sz w:val="18"/>
          <w:szCs w:val="18"/>
        </w:rPr>
        <w:t>«=p.iupac_name»  («=p.short_label»)</w:t>
      </w:r>
    </w:p>
    <w:tbl>
      <w:tblPr>
        <w:tblW w:w="90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1543"/>
        <w:gridCol w:w="1181"/>
        <w:gridCol w:w="1134"/>
        <w:gridCol w:w="1203"/>
        <w:gridCol w:w="1361"/>
        <w:gridCol w:w="1134"/>
        <w:gridCol w:w="1134"/>
      </w:tblGrid>
      <w:tr>
        <w:trPr>
          <w:trHeight w:val="255" w:hRule="atLeast"/>
        </w:trPr>
        <w:tc>
          <w:tcPr>
            <w:tcW w:w="33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color w:val="538135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color w:val="538135"/>
                <w:kern w:val="0"/>
                <w:sz w:val="18"/>
                <w:szCs w:val="18"/>
                <w:lang w:val="en-US" w:eastAsia="zh-TW" w:bidi="ar-SA"/>
              </w:rPr>
              <w:t>P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b/>
                <w:b/>
                <w:color w:val="538135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b/>
                <w:color w:val="538135"/>
                <w:kern w:val="0"/>
                <w:sz w:val="18"/>
                <w:szCs w:val="18"/>
                <w:lang w:val="en-US" w:eastAsia="zh-TW" w:bidi="ar-SA"/>
              </w:rPr>
              <w:t>«=p.formular»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«=p.mol_w»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新細明體"/>
                <w:kern w:val="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b/>
                <w:kern w:val="0"/>
                <w:sz w:val="18"/>
                <w:szCs w:val="18"/>
                <w:lang w:val="en-US" w:eastAsia="zh-TW" w:bidi="ar-SA"/>
              </w:rPr>
              <w:t>«=p.mass» «=p.mass_unit»</w:t>
            </w:r>
          </w:p>
        </w:tc>
        <w:tc>
          <w:tcPr>
            <w:tcW w:w="1203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新細明體"/>
                <w:kern w:val="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«=p.vol» «=p.vol_unit»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«=p.density»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新細明體"/>
                <w:kern w:val="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8"/>
                <w:szCs w:val="18"/>
                <w:lang w:val="en-US" w:eastAsia="zh-TW" w:bidi="ar-SA"/>
              </w:rPr>
              <w:t>«=p.mol» «=p.mmol_unit»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eastAsia="新細明體" w:cs="Arial"/>
                <w:color w:val="FF0000"/>
                <w:kern w:val="0"/>
                <w:sz w:val="18"/>
                <w:szCs w:val="18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color w:val="FF0000"/>
                <w:kern w:val="0"/>
                <w:sz w:val="18"/>
                <w:szCs w:val="18"/>
                <w:lang w:val="en-US" w:eastAsia="zh-TW" w:bidi="ar-SA"/>
              </w:rPr>
              <w:t>«=p.equiv»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«obj.products:endEach»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25400" distL="0" distR="31750" simplePos="0" locked="0" layoutInCell="0" allowOverlap="1" relativeHeight="4">
                <wp:simplePos x="0" y="0"/>
                <wp:positionH relativeFrom="column">
                  <wp:posOffset>46990</wp:posOffset>
                </wp:positionH>
                <wp:positionV relativeFrom="paragraph">
                  <wp:posOffset>55880</wp:posOffset>
                </wp:positionV>
                <wp:extent cx="5760085" cy="0"/>
                <wp:effectExtent l="0" t="5080" r="635" b="508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5b9bd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pt,4.4pt" to="457.2pt,4.4pt" ID="Straight Connector 6" stroked="t" o:allowincell="f" style="position:absolute">
                <v:stroke color="#5b9bd5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«obj.solvents:if»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Arial" w:hAnsi="Arial"/>
          <w:b/>
          <w:sz w:val="20"/>
          <w:szCs w:val="20"/>
        </w:rPr>
        <w:t>Solvent(s):</w:t>
      </w:r>
      <w:r>
        <w:rPr>
          <w:rFonts w:cs="Arial" w:ascii="Arial" w:hAnsi="Arial"/>
          <w:sz w:val="20"/>
          <w:szCs w:val="20"/>
        </w:rPr>
        <w:t xml:space="preserve"> «=obj.solvents»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«obj.solvents:endIf»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bookmarkStart w:id="0" w:name="_Hlk121320354"/>
      <w:bookmarkEnd w:id="0"/>
      <w:r>
        <w:rPr>
          <w:rFonts w:cs="Arial" w:ascii="Arial" w:hAnsi="Arial"/>
          <w:sz w:val="20"/>
          <w:szCs w:val="20"/>
        </w:rPr>
        <w:t>«rxn_settings.material:endIf»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«rxn_settings.variations:if»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«obj.variations:if»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Variations: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04"/>
        <w:gridCol w:w="1504"/>
        <w:gridCol w:w="1505"/>
        <w:gridCol w:w="1504"/>
        <w:gridCol w:w="1505"/>
      </w:tblGrid>
      <w:tr>
        <w:trPr/>
        <w:tc>
          <w:tcPr>
            <w:tcW w:w="1504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b/>
                <w:b/>
                <w:bCs/>
                <w:kern w:val="0"/>
                <w:sz w:val="20"/>
                <w:szCs w:val="2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b/>
                <w:bCs/>
                <w:kern w:val="0"/>
                <w:sz w:val="20"/>
                <w:szCs w:val="20"/>
                <w:lang w:val="en-US" w:eastAsia="zh-TW" w:bidi="ar-SA"/>
              </w:rPr>
              <w:t>Properties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b/>
                <w:b/>
                <w:bCs/>
                <w:kern w:val="0"/>
                <w:sz w:val="20"/>
                <w:szCs w:val="2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b/>
                <w:bCs/>
                <w:kern w:val="0"/>
                <w:sz w:val="20"/>
                <w:szCs w:val="20"/>
                <w:lang w:val="en-US" w:eastAsia="zh-TW" w:bidi="ar-SA"/>
              </w:rPr>
              <w:t>Notes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b/>
                <w:b/>
                <w:bCs/>
                <w:kern w:val="0"/>
                <w:sz w:val="20"/>
                <w:szCs w:val="2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b/>
                <w:bCs/>
                <w:kern w:val="0"/>
                <w:sz w:val="20"/>
                <w:szCs w:val="20"/>
                <w:lang w:val="en-US" w:eastAsia="zh-TW" w:bidi="ar-SA"/>
              </w:rPr>
              <w:t>Starting materials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b/>
                <w:b/>
                <w:bCs/>
                <w:kern w:val="0"/>
                <w:sz w:val="20"/>
                <w:szCs w:val="2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b/>
                <w:bCs/>
                <w:kern w:val="0"/>
                <w:sz w:val="20"/>
                <w:szCs w:val="20"/>
                <w:lang w:val="en-US" w:eastAsia="zh-TW" w:bidi="ar-SA"/>
              </w:rPr>
              <w:t>Reactants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b/>
                <w:b/>
                <w:bCs/>
                <w:kern w:val="0"/>
                <w:sz w:val="20"/>
                <w:szCs w:val="2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b/>
                <w:bCs/>
                <w:kern w:val="0"/>
                <w:sz w:val="20"/>
                <w:szCs w:val="20"/>
                <w:lang w:val="en-US" w:eastAsia="zh-TW" w:bidi="ar-SA"/>
              </w:rPr>
              <w:t>Products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b/>
                <w:b/>
                <w:bCs/>
                <w:kern w:val="0"/>
                <w:sz w:val="20"/>
                <w:szCs w:val="2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b/>
                <w:bCs/>
                <w:kern w:val="0"/>
                <w:sz w:val="20"/>
                <w:szCs w:val="20"/>
                <w:lang w:val="en-US" w:eastAsia="zh-TW" w:bidi="ar-SA"/>
              </w:rPr>
              <w:t>Solvents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«obj.variations:each(v)»</w:t>
      </w:r>
    </w:p>
    <w:tbl>
      <w:tblPr>
        <w:tblW w:w="90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w="1504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eastAsia="新細明體"/>
                <w:kern w:val="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 xml:space="preserve">Temperature: «=v.temperature»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24"/>
                <w:szCs w:val="24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24"/>
                <w:szCs w:val="24"/>
                <w:lang w:val="en-US" w:eastAsia="zh-TW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eastAsia="新細明體"/>
                <w:kern w:val="0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Duration: «=v.duration»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24"/>
                <w:szCs w:val="24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24"/>
                <w:szCs w:val="24"/>
                <w:lang w:val="en-US" w:eastAsia="zh-TW" w:bidi="ar-SA"/>
              </w:rPr>
            </w:r>
          </w:p>
        </w:tc>
        <w:tc>
          <w:tcPr>
            <w:tcW w:w="1504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</w:r>
          </w:p>
        </w:tc>
        <w:tc>
          <w:tcPr>
            <w:tcW w:w="1504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«v.startingMaterials:each(s)»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«=s»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24"/>
                <w:szCs w:val="24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24"/>
                <w:szCs w:val="24"/>
                <w:lang w:val="en-US" w:eastAsia="zh-TW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«v.startingMaterials:endEach»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«v.reactants:each(r)»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«=r»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24"/>
                <w:szCs w:val="24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24"/>
                <w:szCs w:val="24"/>
                <w:lang w:val="en-US" w:eastAsia="zh-TW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«v.reactants:endEach»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«v.products:each(p)»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«=p»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24"/>
                <w:szCs w:val="24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24"/>
                <w:szCs w:val="24"/>
                <w:lang w:val="en-US" w:eastAsia="zh-TW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«v.products:endEach»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«v.solvents:each(s)»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«=s»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24"/>
                <w:szCs w:val="24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24"/>
                <w:szCs w:val="24"/>
                <w:lang w:val="en-US" w:eastAsia="zh-TW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rial" w:hAnsi="Arial" w:eastAsia="新細明體" w:cs="Arial"/>
                <w:kern w:val="0"/>
                <w:sz w:val="16"/>
                <w:szCs w:val="16"/>
                <w:lang w:val="en-US" w:eastAsia="zh-TW" w:bidi="ar-SA"/>
              </w:rPr>
            </w:pPr>
            <w:r>
              <w:rPr>
                <w:rFonts w:eastAsia="新細明體" w:cs="Arial" w:ascii="Arial" w:hAnsi="Arial"/>
                <w:kern w:val="0"/>
                <w:sz w:val="16"/>
                <w:szCs w:val="16"/>
                <w:lang w:val="en-US" w:eastAsia="zh-TW" w:bidi="ar-SA"/>
              </w:rPr>
              <w:t>«v.solvents:endEach»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«obj.variations:endEach»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«obj.variations:endIf»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«rxn_settings.variations:endIf»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«rxn_settings.description:if»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«obj.description_check:if»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Arial" w:hAnsi="Arial"/>
          <w:b/>
          <w:sz w:val="20"/>
          <w:szCs w:val="20"/>
        </w:rPr>
        <w:t xml:space="preserve">Description: </w:t>
      </w:r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Normal"/>
        <w:ind w:left="142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«=obj.description»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«obj.description_check:endIf»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«rxn_settings.description:endIf»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«rxn_settings.purification:if»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«obj.purification:if»</w:t>
      </w:r>
    </w:p>
    <w:p>
      <w:pPr>
        <w:pStyle w:val="Normal"/>
        <w:rPr/>
      </w:pPr>
      <w:r>
        <w:rPr>
          <w:rFonts w:cs="Arial" w:ascii="Arial" w:hAnsi="Arial"/>
          <w:b/>
          <w:color w:val="000000"/>
          <w:sz w:val="20"/>
          <w:szCs w:val="20"/>
        </w:rPr>
        <w:t>Type of Purification</w:t>
      </w:r>
      <w:r>
        <w:rPr>
          <w:rFonts w:cs="Arial" w:ascii="Arial" w:hAnsi="Arial"/>
          <w:b/>
          <w:sz w:val="20"/>
          <w:szCs w:val="20"/>
        </w:rPr>
        <w:t>:</w:t>
      </w:r>
      <w:r>
        <w:rPr>
          <w:rFonts w:cs="Arial" w:ascii="Arial" w:hAnsi="Arial"/>
          <w:sz w:val="20"/>
          <w:szCs w:val="20"/>
        </w:rPr>
        <w:t xml:space="preserve"> «=obj.purification»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«obj.purification:endIf»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«rxn_settings.purification:endIf»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«rxn_settings.dangerous_products:if»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«obj.dangerous_products:if»</w:t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>Dangerous Products:</w:t>
      </w:r>
      <w:r>
        <w:rPr>
          <w:rFonts w:cs="Arial" w:ascii="Arial" w:hAnsi="Arial"/>
          <w:sz w:val="20"/>
          <w:szCs w:val="20"/>
        </w:rPr>
        <w:t xml:space="preserve"> «=obj.dangerous_products»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«obj.dangerous_products:endIf»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«rxn_settings.dangerous_products:endIf»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«rxn_settings.tlc:if»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«obj.tlc_control:if»</w:t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>TLC control:</w:t>
      </w:r>
      <w:r>
        <w:rPr>
          <w:rFonts w:cs="Arial" w:ascii="Arial" w:hAnsi="Arial"/>
          <w:sz w:val="20"/>
          <w:szCs w:val="20"/>
        </w:rPr>
        <w:t xml:space="preserve"> «obj.show_tlc_rf:if»Rf-value: «=obj.tlc_rf» «obj.show_tlc_rf:endIf»«obj.show_tlc_solvent:if» (Solvent: «=obj.tlc_solvent»)«obj.show_tlc_solvent:endIf»</w:t>
      </w:r>
    </w:p>
    <w:p>
      <w:pPr>
        <w:pStyle w:val="Normal"/>
        <w:ind w:left="142" w:right="0" w:hanging="0"/>
        <w:rPr/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«=obj.tlc_description»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«obj.tlc_control:endIf»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«rxn_settings.tlc:endIf»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«rxn_settings.observation:if»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«obj.observation_check:if»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Additional information for publication and purification details:</w:t>
      </w:r>
    </w:p>
    <w:p>
      <w:pPr>
        <w:pStyle w:val="Normal"/>
        <w:ind w:left="142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«=obj.observation»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«obj.observation_check:endIf»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«rxn_settings.observation:endIf»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«rxn_settings.analysis:if»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«obj.analyses:if»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Analysis: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«obj.analyses:each(analysis)»</w:t>
      </w:r>
    </w:p>
    <w:p>
      <w:pPr>
        <w:pStyle w:val="Normal"/>
        <w:ind w:left="142" w:right="0" w:hanging="0"/>
        <w:rPr/>
      </w:pPr>
      <w:r>
        <w:rPr>
          <w:rFonts w:cs="Arial" w:ascii="Arial" w:hAnsi="Arial"/>
          <w:sz w:val="20"/>
          <w:szCs w:val="20"/>
          <w:u w:val="single"/>
        </w:rPr>
        <w:t>«=analysis.sample»</w:t>
      </w:r>
      <w:r>
        <w:rPr>
          <w:rFonts w:cs="Arial" w:ascii="Arial" w:hAnsi="Arial"/>
          <w:sz w:val="20"/>
          <w:szCs w:val="20"/>
        </w:rPr>
        <w:t xml:space="preserve"> («=analysis.kind»)</w:t>
      </w:r>
    </w:p>
    <w:p>
      <w:pPr>
        <w:pStyle w:val="Normal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«=analysis.content»</w:t>
      </w:r>
    </w:p>
    <w:p>
      <w:pPr>
        <w:pStyle w:val="Normal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«=analysis.description»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«obj.analyses:endEach»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«obj.analyses:endIf»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«rxn_settings.analysis:endIf»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«rxn_settings.literature:if»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«obj.literatures:if»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Literature: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«obj.literatures:each(literature)»</w:t>
      </w:r>
    </w:p>
    <w:p>
      <w:pPr>
        <w:pStyle w:val="Normal"/>
        <w:ind w:left="142" w:right="0" w:hanging="0"/>
        <w:rPr/>
      </w:pPr>
      <w:r>
        <w:rPr>
          <w:rFonts w:cs="Arial" w:ascii="Arial" w:hAnsi="Arial"/>
          <w:sz w:val="20"/>
          <w:szCs w:val="20"/>
        </w:rPr>
        <w:t>«=literature.author». («=literature.year»). «=literature.title», «=literature.issn». «=literature.doi»</w:t>
      </w:r>
    </w:p>
    <w:p>
      <w:pPr>
        <w:pStyle w:val="Normal"/>
        <w:ind w:left="142" w:right="0" w:hanging="0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«=literature.url»</w:t>
      </w:r>
    </w:p>
    <w:p>
      <w:pPr>
        <w:pStyle w:val="Normal"/>
        <w:ind w:left="142" w:right="0" w:hanging="0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«obj.literatures:endEach»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«obj.literatures:endIf»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«rxn_settings.literature:endIf»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«configs.page_break:if»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«obj.not_last:if»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«obj.not_last:endIf»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«configs.page_break:endIf»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«obj.is_reaction:endIf»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«obj.is_sample:if»</w:t>
      </w:r>
    </w:p>
    <w:p>
      <w:pPr>
        <w:pStyle w:val="Normal"/>
        <w:numPr>
          <w:ilvl w:val="0"/>
          <w:numId w:val="0"/>
        </w:numPr>
        <w:outlineLvl w:val="0"/>
        <w:rPr/>
      </w:pPr>
      <w:r>
        <mc:AlternateContent>
          <mc:Choice Requires="wps">
            <w:drawing>
              <wp:anchor behindDoc="0" distT="0" distB="34925" distL="0" distR="20955" simplePos="0" locked="0" layoutInCell="0" allowOverlap="1" relativeHeight="6">
                <wp:simplePos x="0" y="0"/>
                <wp:positionH relativeFrom="column">
                  <wp:posOffset>-65405</wp:posOffset>
                </wp:positionH>
                <wp:positionV relativeFrom="paragraph">
                  <wp:posOffset>165735</wp:posOffset>
                </wp:positionV>
                <wp:extent cx="5713095" cy="3175"/>
                <wp:effectExtent l="635" t="3810" r="0" b="3810"/>
                <wp:wrapNone/>
                <wp:docPr id="5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32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15pt,13.05pt" to="444.65pt,13.25pt" ID="Straight Connector 3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Arial" w:ascii="Arial" w:hAnsi="Arial"/>
          <w:b/>
          <w:color w:val="000000"/>
          <w:sz w:val="22"/>
          <w:szCs w:val="22"/>
        </w:rPr>
        <w:t xml:space="preserve">«=obj.title»   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Arial" w:hAnsi="Arial"/>
          <w:sz w:val="20"/>
          <w:szCs w:val="20"/>
        </w:rPr>
        <w:t>«spl_settings.collection:if»</w:t>
      </w:r>
      <w:r>
        <w:rPr>
          <w:rFonts w:cs="Arial" w:ascii="Arial" w:hAnsi="Arial"/>
          <w:b/>
          <w:sz w:val="22"/>
          <w:szCs w:val="22"/>
        </w:rPr>
        <w:t>Collections: :</w:t>
      </w:r>
      <w:r>
        <w:rPr>
          <w:rFonts w:cs="Arial" w:ascii="Arial" w:hAnsi="Arial"/>
          <w:sz w:val="22"/>
          <w:szCs w:val="22"/>
        </w:rPr>
        <w:t xml:space="preserve"> </w:t>
      </w:r>
      <w:r>
        <w:rPr/>
        <w:t>«=obj.collections»</w:t>
      </w:r>
      <w:r>
        <w:rPr>
          <w:rFonts w:cs="Arial" w:ascii="Arial" w:hAnsi="Arial"/>
          <w:sz w:val="20"/>
          <w:szCs w:val="20"/>
        </w:rPr>
        <w:t>«spl_settings.collection:endIf»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«spl_settings.diagram:if»</w:t>
      </w:r>
    </w:p>
    <w:p>
      <w:pPr>
        <w:pStyle w:val="Normal"/>
        <w:jc w:val="center"/>
        <w:rPr/>
      </w:pPr>
      <w:r>
        <w:rPr>
          <w:rFonts w:cs="Arial" w:ascii="Arial" w:hAnsi="Arial"/>
        </w:rPr>
        <w:t>«$$obj.structure:start»</w:t>
      </w:r>
      <w:r>
        <w:rPr/>
        <w:object w:dxaOrig="2835" w:dyaOrig="2835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453.5pt;height:129pt;mso-wrap-distance-right:0pt" filled="f" o:ole="">
            <v:imagedata r:id="rId8" o:title=""/>
          </v:shape>
          <o:OLEObject Type="Embed" ProgID="" ShapeID="ole_rId7" DrawAspect="Content" ObjectID="_1377204302" r:id="rId7"/>
        </w:object>
      </w:r>
      <w:r>
        <w:rPr>
          <w:rFonts w:cs="Arial" w:ascii="Arial" w:hAnsi="Arial"/>
        </w:rPr>
        <w:t>«$$obj.structure:end»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«spl_settings.diagram:endIf»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«spl_settings.analyses:if»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«obj.analyses:if»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«=obj.analyses»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«obj.analyses:endIf»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«spl_settings.analyses:endIf»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«spl_settings.literature:if»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«obj.literatures:if»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Literature: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«obj.literatures:each(literature)»</w:t>
      </w:r>
    </w:p>
    <w:p>
      <w:pPr>
        <w:pStyle w:val="Normal"/>
        <w:ind w:left="142" w:right="0" w:hanging="0"/>
        <w:rPr/>
      </w:pPr>
      <w:r>
        <w:rPr>
          <w:rFonts w:cs="Arial" w:ascii="Arial" w:hAnsi="Arial"/>
          <w:sz w:val="20"/>
          <w:szCs w:val="20"/>
        </w:rPr>
        <w:t>«=literature.author». («=literature.year»). «=literature.title», «=literature.issn». «=literature.doi»</w:t>
      </w:r>
    </w:p>
    <w:p>
      <w:pPr>
        <w:pStyle w:val="Normal"/>
        <w:ind w:left="142" w:right="0" w:hanging="0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«=literature.url»</w:t>
      </w:r>
    </w:p>
    <w:p>
      <w:pPr>
        <w:pStyle w:val="Normal"/>
        <w:ind w:left="142" w:right="0" w:hanging="0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«obj.literatures:endEach»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«obj.literatures:endIf»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«spl_settings.literature:endIf»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«configs.page_break:if»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«obj.not_last:if»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«obj.not_last:endIf»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«configs.page_break:endIf»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«obj.is_sample:endIf»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«objs:endEach»</w:t>
      </w:r>
    </w:p>
    <w:sectPr>
      <w:headerReference w:type="default" r:id="rId9"/>
      <w:footerReference w:type="default" r:id="rId10"/>
      <w:type w:val="nextPage"/>
      <w:pgSz w:w="11906" w:h="16838"/>
      <w:pgMar w:left="1440" w:right="1440" w:gutter="0" w:header="708" w:top="1440" w:footer="708" w:bottom="1440"/>
      <w:pgNumType w:start="1" w:fmt="decimal"/>
      <w:formProt w:val="false"/>
      <w:textDirection w:val="lrTb"/>
      <w:docGrid w:type="default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t>Generated by «=author»</w:t>
      <w:tab/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t>Date: «=date»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Cordia New"/>
        <w:sz w:val="24"/>
        <w:szCs w:val="24"/>
        <w:lang w:val="en-US" w:eastAsia="zh-TW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新細明體" w:cs="Cordia New"/>
      <w:color w:val="auto"/>
      <w:kern w:val="0"/>
      <w:sz w:val="24"/>
      <w:szCs w:val="24"/>
      <w:lang w:val="en-US" w:eastAsia="zh-TW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Pagenumber">
    <w:name w:val="page number"/>
    <w:basedOn w:val="DefaultParagraphFont"/>
    <w:qFormat/>
    <w:rPr/>
  </w:style>
  <w:style w:type="character" w:styleId="DocumentMapChar">
    <w:name w:val="Document Map Char"/>
    <w:basedOn w:val="DefaultParagraphFont"/>
    <w:link w:val="DocumentMap"/>
    <w:qFormat/>
    <w:rPr>
      <w:rFonts w:ascii="Times New Roman" w:hAnsi="Times New Roman" w:cs="Times New Roman"/>
    </w:rPr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umentMap">
    <w:name w:val="Document Map"/>
    <w:basedOn w:val="Normal"/>
    <w:link w:val="DocumentMapChar"/>
    <w:qFormat/>
    <w:pPr/>
    <w:rPr>
      <w:rFonts w:ascii="Times New Roman" w:hAnsi="Times New Roman" w:cs="Times New Roma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新細明體" w:cs="Cordia New"/>
      <w:color w:val="auto"/>
      <w:kern w:val="0"/>
      <w:sz w:val="24"/>
      <w:szCs w:val="24"/>
      <w:lang w:val="en-US" w:eastAsia="zh-TW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Application>LibreOffice/7.3.7.2$Linux_X86_64 LibreOffice_project/30$Build-2</Application>
  <AppVersion>15.0000</AppVersion>
  <Pages>5</Pages>
  <Words>223</Words>
  <Characters>4000</Characters>
  <CharactersWithSpaces>4079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2022-12-07T12:42:00Z</dcterms:created>
  <dc:creator>Jason Yu-Chieh Huang禹傑®</dc:creator>
  <dc:description/>
  <dc:language>en-US</dc:language>
  <cp:lastModifiedBy/>
  <dcterms:modified xsi:type="dcterms:W3CDTF">2024-06-06T13:42:51Z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