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N/A</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conducts business in the E.U. via online sales.  The GDPR imposes certain requirements upon businesses that collect E.U. citizens’ data.  Botium Toys must comply with the GDPR as a matter of law and to reduce the risk of fines, penalties, and sanctions from non-compliance.</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accepts credit card payments online and in person.  Botium Toys needs to  implement and comply with PCI DSS because it stores, accepts, processes, and transmits credit card information.  This will reduce the risk of credit card fraud and financial risk to the company.</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N/A</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Botium Toys needs to implement access controls to mitigate the risk from internal and external personnel to reduce the risk and ensure data integrity.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