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36"/>
        </w:rPr>
        <w:t>AI Tools Declaration Table (Corrected &amp; Verified)</w:t>
      </w:r>
    </w:p>
    <w:p>
      <w:pPr>
        <w:spacing w:after="240"/>
      </w:pPr>
      <w:r>
        <w:rPr>
          <w:rFonts w:ascii="Calibri" w:hAnsi="Calibri"/>
          <w:i/>
          <w:color w:val="475569"/>
          <w:sz w:val="21"/>
        </w:rPr>
        <w:t>Accurate Reflection of Project AI Usage for Academic Transparency &amp; Evaluation</w:t>
      </w:r>
    </w:p>
    <w:p>
      <w:pPr>
        <w:spacing w:after="240"/>
      </w:pPr>
      <w:r>
        <w:rPr>
          <w:rFonts w:ascii="Calibri" w:hAnsi="Calibri"/>
          <w:color w:val="0F172A"/>
          <w:sz w:val="19"/>
        </w:rPr>
        <w:t>In the previous version of the report, the tools' roles were inadvertently swapped (e.g. attributing code generation to Copilot and report writing to Antigravity). Below is the accurate, professionally phrased declaration matching the actual development workflows.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728"/>
        <w:gridCol w:w="2736"/>
        <w:gridCol w:w="2736"/>
        <w:gridCol w:w="3024"/>
      </w:tblGrid>
      <w:tr>
        <w:tc>
          <w:tcPr>
            <w:tcW w:type="dxa" w:w="1728"/>
            <w:shd w:fill="1E3A8A"/>
            <w:tcMar>
              <w:top w:w="100" w:type="dxa"/>
              <w:bottom w:w="100" w:type="dxa"/>
              <w:left w:w="120" w:type="dxa"/>
              <w:right w:w="120" w:type="dxa"/>
            </w:tcMar>
          </w:tcPr>
          <w:p>
            <w:pPr>
              <w:spacing w:before="0" w:after="0"/>
            </w:pPr>
            <w:r>
              <w:rPr>
                <w:rFonts w:ascii="Calibri" w:hAnsi="Calibri"/>
                <w:b/>
                <w:color w:val="FFFFFF"/>
                <w:sz w:val="18"/>
              </w:rPr>
              <w:t>AI tools used</w:t>
            </w:r>
          </w:p>
        </w:tc>
        <w:tc>
          <w:tcPr>
            <w:tcW w:type="dxa" w:w="2736"/>
            <w:shd w:fill="1E3A8A"/>
            <w:tcMar>
              <w:top w:w="100" w:type="dxa"/>
              <w:bottom w:w="100" w:type="dxa"/>
              <w:left w:w="120" w:type="dxa"/>
              <w:right w:w="120" w:type="dxa"/>
            </w:tcMar>
          </w:tcPr>
          <w:p>
            <w:pPr>
              <w:spacing w:before="0" w:after="0"/>
            </w:pPr>
            <w:r>
              <w:rPr>
                <w:rFonts w:ascii="Calibri" w:hAnsi="Calibri"/>
                <w:b/>
                <w:color w:val="FFFFFF"/>
                <w:sz w:val="18"/>
              </w:rPr>
              <w:t>Purpose of use</w:t>
            </w:r>
          </w:p>
        </w:tc>
        <w:tc>
          <w:tcPr>
            <w:tcW w:type="dxa" w:w="2736"/>
            <w:shd w:fill="1E3A8A"/>
            <w:tcMar>
              <w:top w:w="100" w:type="dxa"/>
              <w:bottom w:w="100" w:type="dxa"/>
              <w:left w:w="120" w:type="dxa"/>
              <w:right w:w="120" w:type="dxa"/>
            </w:tcMar>
          </w:tcPr>
          <w:p>
            <w:pPr>
              <w:spacing w:before="0" w:after="0"/>
            </w:pPr>
            <w:r>
              <w:rPr>
                <w:rFonts w:ascii="Calibri" w:hAnsi="Calibri"/>
                <w:b/>
                <w:color w:val="FFFFFF"/>
                <w:sz w:val="18"/>
              </w:rPr>
              <w:t>Generated outputs</w:t>
            </w:r>
          </w:p>
        </w:tc>
        <w:tc>
          <w:tcPr>
            <w:tcW w:type="dxa" w:w="3024"/>
            <w:shd w:fill="1E3A8A"/>
            <w:tcMar>
              <w:top w:w="100" w:type="dxa"/>
              <w:bottom w:w="100" w:type="dxa"/>
              <w:left w:w="120" w:type="dxa"/>
              <w:right w:w="120" w:type="dxa"/>
            </w:tcMar>
          </w:tcPr>
          <w:p>
            <w:pPr>
              <w:spacing w:before="0" w:after="0"/>
            </w:pPr>
            <w:r>
              <w:rPr>
                <w:rFonts w:ascii="Calibri" w:hAnsi="Calibri"/>
                <w:b/>
                <w:color w:val="FFFFFF"/>
                <w:sz w:val="18"/>
              </w:rPr>
              <w:t>How the outputs were verified and refined by the team</w:t>
            </w:r>
          </w:p>
        </w:tc>
      </w:tr>
      <w:tr>
        <w:tc>
          <w:tcPr>
            <w:tcW w:type="dxa" w:w="1728"/>
            <w:shd w:fill="FFFFFF"/>
            <w:tcMar>
              <w:top w:w="90" w:type="dxa"/>
              <w:bottom w:w="90" w:type="dxa"/>
              <w:left w:w="120" w:type="dxa"/>
              <w:right w:w="120" w:type="dxa"/>
            </w:tcMar>
          </w:tcPr>
          <w:p>
            <w:pPr>
              <w:spacing w:before="0" w:after="0"/>
            </w:pPr>
            <w:r>
              <w:rPr>
                <w:rFonts w:ascii="Calibri" w:hAnsi="Calibri"/>
                <w:b/>
                <w:color w:val="1E3A8A"/>
                <w:sz w:val="17"/>
              </w:rPr>
              <w:t>Gemini</w:t>
              <w:br/>
              <w:t>(Google)</w:t>
            </w:r>
          </w:p>
        </w:tc>
        <w:tc>
          <w:tcPr>
            <w:tcW w:type="dxa" w:w="2736"/>
            <w:shd w:fill="FFFFFF"/>
            <w:tcMar>
              <w:top w:w="90" w:type="dxa"/>
              <w:bottom w:w="90" w:type="dxa"/>
              <w:left w:w="120" w:type="dxa"/>
              <w:right w:w="120" w:type="dxa"/>
            </w:tcMar>
          </w:tcPr>
          <w:p>
            <w:pPr>
              <w:spacing w:before="0" w:after="0"/>
            </w:pPr>
            <w:r>
              <w:rPr>
                <w:rFonts w:ascii="Calibri" w:hAnsi="Calibri"/>
                <w:color w:val="0F172A"/>
                <w:sz w:val="17"/>
              </w:rPr>
              <w:t>Conceptual ideation, exploratory research on automotive service workflows, and technical inquiry into unfamiliar concepts and architecture options.</w:t>
            </w:r>
          </w:p>
        </w:tc>
        <w:tc>
          <w:tcPr>
            <w:tcW w:type="dxa" w:w="2736"/>
            <w:shd w:fill="FFFFFF"/>
            <w:tcMar>
              <w:top w:w="90" w:type="dxa"/>
              <w:bottom w:w="90" w:type="dxa"/>
              <w:left w:w="120" w:type="dxa"/>
              <w:right w:w="120" w:type="dxa"/>
            </w:tcMar>
          </w:tcPr>
          <w:p>
            <w:pPr>
              <w:spacing w:before="0" w:after="0"/>
            </w:pPr>
            <w:r>
              <w:rPr>
                <w:rFonts w:ascii="Calibri" w:hAnsi="Calibri"/>
                <w:color w:val="0F172A"/>
                <w:sz w:val="17"/>
              </w:rPr>
              <w:t>Brainstormed system concepts, domain knowledge on service station operations, comparative research on offline database options, and FIFO inventory logic.</w:t>
            </w:r>
          </w:p>
        </w:tc>
        <w:tc>
          <w:tcPr>
            <w:tcW w:type="dxa" w:w="3024"/>
            <w:shd w:fill="FFFFFF"/>
            <w:tcMar>
              <w:top w:w="90" w:type="dxa"/>
              <w:bottom w:w="90" w:type="dxa"/>
              <w:left w:w="120" w:type="dxa"/>
              <w:right w:w="120" w:type="dxa"/>
            </w:tcMar>
          </w:tcPr>
          <w:p>
            <w:pPr>
              <w:spacing w:before="0" w:after="0"/>
            </w:pPr>
            <w:r>
              <w:rPr>
                <w:rFonts w:ascii="Calibri" w:hAnsi="Calibri"/>
                <w:color w:val="0F172A"/>
                <w:sz w:val="17"/>
              </w:rPr>
              <w:t>The team reviewed research insights against actual counter operations at Omega Engineers, validating feasibility and filtering applicable ideas.</w:t>
            </w:r>
          </w:p>
        </w:tc>
      </w:tr>
      <w:tr>
        <w:tc>
          <w:tcPr>
            <w:tcW w:type="dxa" w:w="1728"/>
            <w:shd w:fill="F8FAFC"/>
            <w:tcMar>
              <w:top w:w="90" w:type="dxa"/>
              <w:bottom w:w="90" w:type="dxa"/>
              <w:left w:w="120" w:type="dxa"/>
              <w:right w:w="120" w:type="dxa"/>
            </w:tcMar>
          </w:tcPr>
          <w:p>
            <w:pPr>
              <w:spacing w:before="0" w:after="0"/>
            </w:pPr>
            <w:r>
              <w:rPr>
                <w:rFonts w:ascii="Calibri" w:hAnsi="Calibri"/>
                <w:b/>
                <w:color w:val="1E3A8A"/>
                <w:sz w:val="17"/>
              </w:rPr>
              <w:t>Claude</w:t>
              <w:br/>
              <w:t>(Anthropic)</w:t>
            </w:r>
          </w:p>
        </w:tc>
        <w:tc>
          <w:tcPr>
            <w:tcW w:type="dxa" w:w="2736"/>
            <w:shd w:fill="F8FAFC"/>
            <w:tcMar>
              <w:top w:w="90" w:type="dxa"/>
              <w:bottom w:w="90" w:type="dxa"/>
              <w:left w:w="120" w:type="dxa"/>
              <w:right w:w="120" w:type="dxa"/>
            </w:tcMar>
          </w:tcPr>
          <w:p>
            <w:pPr>
              <w:spacing w:before="0" w:after="0"/>
            </w:pPr>
            <w:r>
              <w:rPr>
                <w:rFonts w:ascii="Calibri" w:hAnsi="Calibri"/>
                <w:color w:val="0F172A"/>
                <w:sz w:val="17"/>
              </w:rPr>
              <w:t>Designing interactive UI wireframes, formalizing Software Requirements Specification (SRS), and structuring MoSCoW prioritization.</w:t>
            </w:r>
          </w:p>
        </w:tc>
        <w:tc>
          <w:tcPr>
            <w:tcW w:type="dxa" w:w="2736"/>
            <w:shd w:fill="F8FAFC"/>
            <w:tcMar>
              <w:top w:w="90" w:type="dxa"/>
              <w:bottom w:w="90" w:type="dxa"/>
              <w:left w:w="120" w:type="dxa"/>
              <w:right w:w="120" w:type="dxa"/>
            </w:tcMar>
          </w:tcPr>
          <w:p>
            <w:pPr>
              <w:spacing w:before="0" w:after="0"/>
            </w:pPr>
            <w:r>
              <w:rPr>
                <w:rFonts w:ascii="Calibri" w:hAnsi="Calibri"/>
                <w:color w:val="0F172A"/>
                <w:sz w:val="17"/>
              </w:rPr>
              <w:t>Interactive HTML/CSS wireframe prototypes (Original_Wireframes.html), structured Functional &amp; Non-Functional requirements list, and prioritized MoSCoW matrix.</w:t>
            </w:r>
          </w:p>
        </w:tc>
        <w:tc>
          <w:tcPr>
            <w:tcW w:type="dxa" w:w="3024"/>
            <w:shd w:fill="F8FAFC"/>
            <w:tcMar>
              <w:top w:w="90" w:type="dxa"/>
              <w:bottom w:w="90" w:type="dxa"/>
              <w:left w:w="120" w:type="dxa"/>
              <w:right w:w="120" w:type="dxa"/>
            </w:tcMar>
          </w:tcPr>
          <w:p>
            <w:pPr>
              <w:spacing w:before="0" w:after="0"/>
            </w:pPr>
            <w:r>
              <w:rPr>
                <w:rFonts w:ascii="Calibri" w:hAnsi="Calibri"/>
                <w:color w:val="0F172A"/>
                <w:sz w:val="17"/>
              </w:rPr>
              <w:t>Business Developer H.M.P.S.D.W. Herath cross-verified each wireframe and requirement against physical station workflows, ensuring operational role boundaries were strictly preserved.</w:t>
            </w:r>
          </w:p>
        </w:tc>
      </w:tr>
      <w:tr>
        <w:tc>
          <w:tcPr>
            <w:tcW w:type="dxa" w:w="1728"/>
            <w:shd w:fill="FFFFFF"/>
            <w:tcMar>
              <w:top w:w="90" w:type="dxa"/>
              <w:bottom w:w="90" w:type="dxa"/>
              <w:left w:w="120" w:type="dxa"/>
              <w:right w:w="120" w:type="dxa"/>
            </w:tcMar>
          </w:tcPr>
          <w:p>
            <w:pPr>
              <w:spacing w:before="0" w:after="0"/>
            </w:pPr>
            <w:r>
              <w:rPr>
                <w:rFonts w:ascii="Calibri" w:hAnsi="Calibri"/>
                <w:b/>
                <w:color w:val="1E3A8A"/>
                <w:sz w:val="17"/>
              </w:rPr>
              <w:t>Microsoft</w:t>
              <w:br/>
              <w:t>Copilot</w:t>
            </w:r>
          </w:p>
        </w:tc>
        <w:tc>
          <w:tcPr>
            <w:tcW w:type="dxa" w:w="2736"/>
            <w:shd w:fill="FFFFFF"/>
            <w:tcMar>
              <w:top w:w="90" w:type="dxa"/>
              <w:bottom w:w="90" w:type="dxa"/>
              <w:left w:w="120" w:type="dxa"/>
              <w:right w:w="120" w:type="dxa"/>
            </w:tcMar>
          </w:tcPr>
          <w:p>
            <w:pPr>
              <w:spacing w:before="0" w:after="0"/>
            </w:pPr>
            <w:r>
              <w:rPr>
                <w:rFonts w:ascii="Calibri" w:hAnsi="Calibri"/>
                <w:color w:val="0F172A"/>
                <w:sz w:val="17"/>
              </w:rPr>
              <w:t>Academic documentation preparation, text alignment, formatting consistency, and grammatical enhancement across report sections.</w:t>
            </w:r>
          </w:p>
        </w:tc>
        <w:tc>
          <w:tcPr>
            <w:tcW w:type="dxa" w:w="2736"/>
            <w:shd w:fill="FFFFFF"/>
            <w:tcMar>
              <w:top w:w="90" w:type="dxa"/>
              <w:bottom w:w="90" w:type="dxa"/>
              <w:left w:w="120" w:type="dxa"/>
              <w:right w:w="120" w:type="dxa"/>
            </w:tcMar>
          </w:tcPr>
          <w:p>
            <w:pPr>
              <w:spacing w:before="0" w:after="0"/>
            </w:pPr>
            <w:r>
              <w:rPr>
                <w:rFonts w:ascii="Calibri" w:hAnsi="Calibri"/>
                <w:color w:val="0F172A"/>
                <w:sz w:val="17"/>
              </w:rPr>
              <w:t>Polished academic prose, corrected grammatical phrasing, coherent technical section transitions, and formatted documentation tables.</w:t>
            </w:r>
          </w:p>
        </w:tc>
        <w:tc>
          <w:tcPr>
            <w:tcW w:type="dxa" w:w="3024"/>
            <w:shd w:fill="FFFFFF"/>
            <w:tcMar>
              <w:top w:w="90" w:type="dxa"/>
              <w:bottom w:w="90" w:type="dxa"/>
              <w:left w:w="120" w:type="dxa"/>
              <w:right w:w="120" w:type="dxa"/>
            </w:tcMar>
          </w:tcPr>
          <w:p>
            <w:pPr>
              <w:spacing w:before="0" w:after="0"/>
            </w:pPr>
            <w:r>
              <w:rPr>
                <w:rFonts w:ascii="Calibri" w:hAnsi="Calibri"/>
                <w:color w:val="0F172A"/>
                <w:sz w:val="17"/>
              </w:rPr>
              <w:t>The entire team conducted peer reviews on all drafted sections to ensure academic rigor, accurate student details (724701588), and rubric compliance.</w:t>
            </w:r>
          </w:p>
        </w:tc>
      </w:tr>
      <w:tr>
        <w:tc>
          <w:tcPr>
            <w:tcW w:type="dxa" w:w="1728"/>
            <w:shd w:fill="F8FAFC"/>
            <w:tcMar>
              <w:top w:w="90" w:type="dxa"/>
              <w:bottom w:w="90" w:type="dxa"/>
              <w:left w:w="120" w:type="dxa"/>
              <w:right w:w="120" w:type="dxa"/>
            </w:tcMar>
          </w:tcPr>
          <w:p>
            <w:pPr>
              <w:spacing w:before="0" w:after="0"/>
            </w:pPr>
            <w:r>
              <w:rPr>
                <w:rFonts w:ascii="Calibri" w:hAnsi="Calibri"/>
                <w:b/>
                <w:color w:val="1E3A8A"/>
                <w:sz w:val="17"/>
              </w:rPr>
              <w:t>Google DeepMind</w:t>
              <w:br/>
              <w:t>Antigravity</w:t>
            </w:r>
          </w:p>
        </w:tc>
        <w:tc>
          <w:tcPr>
            <w:tcW w:type="dxa" w:w="2736"/>
            <w:shd w:fill="F8FAFC"/>
            <w:tcMar>
              <w:top w:w="90" w:type="dxa"/>
              <w:bottom w:w="90" w:type="dxa"/>
              <w:left w:w="120" w:type="dxa"/>
              <w:right w:w="120" w:type="dxa"/>
            </w:tcMar>
          </w:tcPr>
          <w:p>
            <w:pPr>
              <w:spacing w:before="0" w:after="0"/>
            </w:pPr>
            <w:r>
              <w:rPr>
                <w:rFonts w:ascii="Calibri" w:hAnsi="Calibri"/>
                <w:color w:val="0F172A"/>
                <w:sz w:val="17"/>
              </w:rPr>
              <w:t>Full-stack application code generation, interactive prototype development, modular Electron/React architecture implementation, and test automation.</w:t>
            </w:r>
          </w:p>
        </w:tc>
        <w:tc>
          <w:tcPr>
            <w:tcW w:type="dxa" w:w="2736"/>
            <w:shd w:fill="F8FAFC"/>
            <w:tcMar>
              <w:top w:w="90" w:type="dxa"/>
              <w:bottom w:w="90" w:type="dxa"/>
              <w:left w:w="120" w:type="dxa"/>
              <w:right w:w="120" w:type="dxa"/>
            </w:tcMar>
          </w:tcPr>
          <w:p>
            <w:pPr>
              <w:spacing w:before="0" w:after="0"/>
            </w:pPr>
            <w:r>
              <w:rPr>
                <w:rFonts w:ascii="Calibri" w:hAnsi="Calibri"/>
                <w:color w:val="0F172A"/>
                <w:sz w:val="17"/>
              </w:rPr>
              <w:t>Production-ready Electron desktop source code (main process, IPC handlers, preload contextBridge, React UI pages, 13 domain services, and automated integration test suite).</w:t>
            </w:r>
          </w:p>
        </w:tc>
        <w:tc>
          <w:tcPr>
            <w:tcW w:type="dxa" w:w="3024"/>
            <w:shd w:fill="F8FAFC"/>
            <w:tcMar>
              <w:top w:w="90" w:type="dxa"/>
              <w:bottom w:w="90" w:type="dxa"/>
              <w:left w:w="120" w:type="dxa"/>
              <w:right w:w="120" w:type="dxa"/>
            </w:tcMar>
          </w:tcPr>
          <w:p>
            <w:pPr>
              <w:spacing w:before="0" w:after="0"/>
            </w:pPr>
            <w:r>
              <w:rPr>
                <w:rFonts w:ascii="Calibri" w:hAnsi="Calibri"/>
                <w:color w:val="0F172A"/>
                <w:sz w:val="17"/>
              </w:rPr>
              <w:t>Backend Lead W.M.P.R. Weerasinghe and developers validated code via automated integration tests (tests/integration.test.cjs), verified contextIsolation security, and built the NSIS Windows installer.</w:t>
            </w:r>
          </w:p>
        </w:tc>
      </w:tr>
    </w:tbl>
    <w:p>
      <w:pPr>
        <w:spacing w:after="280"/>
      </w:pPr>
    </w:p>
    <w:tbl>
      <w:tblPr>
        <w:tblW w:type="auto" w:w="0"/>
        <w:jc w:val="center"/>
        <w:tblLayout w:type="fixed"/>
        <w:tblLook w:firstColumn="1" w:firstRow="1" w:lastColumn="0" w:lastRow="0" w:noHBand="0" w:noVBand="1" w:val="04A0"/>
      </w:tblPr>
      <w:tblGrid>
        <w:gridCol w:w="10224"/>
      </w:tblGrid>
      <w:tr>
        <w:tc>
          <w:tcPr>
            <w:tcW w:type="dxa" w:w="10224"/>
            <w:shd w:fill="EFF6FF"/>
            <w:tcMar>
              <w:top w:w="100" w:type="dxa"/>
              <w:bottom w:w="100" w:type="dxa"/>
              <w:left w:w="140" w:type="dxa"/>
              <w:right w:w="140" w:type="dxa"/>
            </w:tcMar>
            <w:tcBorders>
              <w:left w:val="single" w:sz="24" w:space="0" w:color="2563EB"/>
              <w:top w:val="none"/>
              <w:right w:val="none"/>
              <w:bottom w:val="none"/>
            </w:tcBorders>
          </w:tcPr>
          <w:p>
            <w:r>
              <w:rPr>
                <w:rFonts w:ascii="Calibri" w:hAnsi="Calibri"/>
                <w:b/>
                <w:color w:val="1E3A8A"/>
                <w:sz w:val="19"/>
              </w:rPr>
              <w:t xml:space="preserve">Summary of Correction: </w:t>
            </w:r>
            <w:r>
              <w:rPr>
                <w:rFonts w:ascii="Calibri" w:hAnsi="Calibri"/>
                <w:color w:val="0F172A"/>
                <w:sz w:val="19"/>
              </w:rPr>
              <w:t>This table accurately reflects reality: Gemini was used for brainstorming and research; Claude for wireframing (as evidenced by Original_Wireframes.html) and MoSCoW prioritization; Microsoft Copilot for document writing, grammar, and alignment; and Antigravity for developing the actual working prototype and codebase.</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