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6A34A"/>
          <w:sz w:val="19"/>
        </w:rPr>
        <w:t>18  ACADEMIC INTEGRITY &amp; DISCLOSURE</w:t>
      </w:r>
    </w:p>
    <w:p>
      <w:pPr>
        <w:spacing w:before="0" w:after="280"/>
      </w:pPr>
      <w:r>
        <w:rPr>
          <w:rFonts w:ascii="Calibri" w:hAnsi="Calibri"/>
          <w:b/>
          <w:color w:val="1E3A8A"/>
          <w:sz w:val="44"/>
        </w:rPr>
        <w:t>Appendix: Generative AI Usage Declaration</w:t>
      </w:r>
    </w:p>
    <w:p>
      <w:pPr>
        <w:spacing w:after="240"/>
      </w:pPr>
      <w:r>
        <w:rPr>
          <w:rFonts w:ascii="Calibri" w:hAnsi="Calibri"/>
          <w:i/>
          <w:color w:val="475569"/>
          <w:sz w:val="20"/>
        </w:rPr>
        <w:t>The following declaration reflects the authentic distribution of Generative AI assistance utilized during the development lifecycle of the Omega Engineers Service Station Management System: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0F9FF"/>
            <w:tcBorders>
              <w:top w:val="single" w:sz="12" w:space="0" w:color="93C5FD"/>
              <w:left w:val="single" w:sz="12" w:space="0" w:color="93C5FD"/>
              <w:bottom w:val="single" w:sz="12" w:space="0" w:color="93C5FD"/>
              <w:right w:val="single" w:sz="12" w:space="0" w:color="93C5FD"/>
            </w:tcBorders>
            <w:tcMar>
              <w:top w:w="180" w:type="dxa"/>
              <w:bottom w:w="180" w:type="dxa"/>
              <w:left w:w="220" w:type="dxa"/>
              <w:right w:w="22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1D4ED8"/>
                <w:sz w:val="24"/>
              </w:rPr>
              <w:t>⚡ Google DeepMind Antigravity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color w:val="475569"/>
                <w:sz w:val="19"/>
              </w:rPr>
              <w:t>Full-Stack Coding &amp; Prototype Implementation</w:t>
            </w:r>
          </w:p>
          <w:p>
            <w:pPr>
              <w:spacing w:before="0" w:after="80"/>
            </w:pPr>
            <w:r>
              <w:rPr>
                <w:rFonts w:ascii="Calibri" w:hAnsi="Calibri"/>
                <w:b/>
                <w:color w:val="0F172A"/>
                <w:sz w:val="18"/>
              </w:rPr>
              <w:t xml:space="preserve">Generated Output: </w:t>
            </w:r>
            <w:r>
              <w:rPr>
                <w:rFonts w:ascii="Calibri" w:hAnsi="Calibri"/>
                <w:color w:val="0F172A"/>
                <w:sz w:val="17"/>
              </w:rPr>
              <w:t>Assisted in generating the full-stack Electron desktop codebase, modular IPC handlers, preload contextBridge, 13 domain services, React UI views, and the automated integration test suite (integration.test.cjs).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D4ED8"/>
                <w:sz w:val="18"/>
              </w:rPr>
              <w:t xml:space="preserve">Team Verification: </w:t>
            </w:r>
            <w:r>
              <w:rPr>
                <w:rFonts w:ascii="Calibri" w:hAnsi="Calibri"/>
                <w:color w:val="0F172A"/>
                <w:sz w:val="17"/>
              </w:rPr>
              <w:t>Every component was locally tested, verified via integration suites, checked for contextIsolation security, and validated with SQLite WAL mode execution.</w:t>
            </w:r>
          </w:p>
        </w:tc>
        <w:tc>
          <w:tcPr>
            <w:tcW w:type="dxa" w:w="5112"/>
            <w:shd w:fill="FFF7ED"/>
            <w:tcBorders>
              <w:top w:val="single" w:sz="12" w:space="0" w:color="FED7AA"/>
              <w:left w:val="single" w:sz="12" w:space="0" w:color="FED7AA"/>
              <w:bottom w:val="single" w:sz="12" w:space="0" w:color="FED7AA"/>
              <w:right w:val="single" w:sz="12" w:space="0" w:color="FED7AA"/>
            </w:tcBorders>
            <w:tcMar>
              <w:top w:w="180" w:type="dxa"/>
              <w:bottom w:w="180" w:type="dxa"/>
              <w:left w:w="220" w:type="dxa"/>
              <w:right w:w="22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C2410C"/>
                <w:sz w:val="24"/>
              </w:rPr>
              <w:t>✴ Claude AI (Anthropic)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color w:val="475569"/>
                <w:sz w:val="19"/>
              </w:rPr>
              <w:t>Wireframing, Requirements &amp; MoSCoW Prioritization</w:t>
            </w:r>
          </w:p>
          <w:p>
            <w:pPr>
              <w:spacing w:before="0" w:after="80"/>
            </w:pPr>
            <w:r>
              <w:rPr>
                <w:rFonts w:ascii="Calibri" w:hAnsi="Calibri"/>
                <w:b/>
                <w:color w:val="0F172A"/>
                <w:sz w:val="18"/>
              </w:rPr>
              <w:t xml:space="preserve">Generated Output: </w:t>
            </w:r>
            <w:r>
              <w:rPr>
                <w:rFonts w:ascii="Calibri" w:hAnsi="Calibri"/>
                <w:color w:val="0F172A"/>
                <w:sz w:val="17"/>
              </w:rPr>
              <w:t>Assisted in creating interactive HTML wireframe layouts (Original_Wireframes.html), formalizing Functional &amp; Non-Functional specifications, and structuring the MoSCoW prioritization matrix.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C2410C"/>
                <w:sz w:val="18"/>
              </w:rPr>
              <w:t xml:space="preserve">Team Verification: </w:t>
            </w:r>
            <w:r>
              <w:rPr>
                <w:rFonts w:ascii="Calibri" w:hAnsi="Calibri"/>
                <w:color w:val="0F172A"/>
                <w:sz w:val="17"/>
              </w:rPr>
              <w:t>Wireframes and prioritized requirements were cross-verified against actual counter workflows and operational boundaries at Omega Engineers.</w:t>
            </w:r>
          </w:p>
        </w:tc>
      </w:tr>
      <w:tr>
        <w:tc>
          <w:tcPr>
            <w:tcW w:type="dxa" w:w="5112"/>
            <w:shd w:fill="FAF5FF"/>
            <w:tcBorders>
              <w:top w:val="single" w:sz="12" w:space="0" w:color="E9D5FF"/>
              <w:left w:val="single" w:sz="12" w:space="0" w:color="E9D5FF"/>
              <w:bottom w:val="single" w:sz="12" w:space="0" w:color="E9D5FF"/>
              <w:right w:val="single" w:sz="12" w:space="0" w:color="E9D5FF"/>
            </w:tcBorders>
            <w:tcMar>
              <w:top w:w="180" w:type="dxa"/>
              <w:bottom w:w="180" w:type="dxa"/>
              <w:left w:w="220" w:type="dxa"/>
              <w:right w:w="22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7E22CE"/>
                <w:sz w:val="24"/>
              </w:rPr>
              <w:t>✦ Gemini (Google)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color w:val="475569"/>
                <w:sz w:val="19"/>
              </w:rPr>
              <w:t>Idea Generation, Technical Research &amp; Domain Q&amp;A</w:t>
            </w:r>
          </w:p>
          <w:p>
            <w:pPr>
              <w:spacing w:before="0" w:after="80"/>
            </w:pPr>
            <w:r>
              <w:rPr>
                <w:rFonts w:ascii="Calibri" w:hAnsi="Calibri"/>
                <w:b/>
                <w:color w:val="0F172A"/>
                <w:sz w:val="18"/>
              </w:rPr>
              <w:t xml:space="preserve">Generated Output: </w:t>
            </w:r>
            <w:r>
              <w:rPr>
                <w:rFonts w:ascii="Calibri" w:hAnsi="Calibri"/>
                <w:color w:val="0F172A"/>
                <w:sz w:val="17"/>
              </w:rPr>
              <w:t>Helped brainstorm system architectural alternatives, clarify unfamiliar technical concepts, explore service station business practices, and investigate FIFO inventory valuation models.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7E22CE"/>
                <w:sz w:val="18"/>
              </w:rPr>
              <w:t xml:space="preserve">Team Verification: </w:t>
            </w:r>
            <w:r>
              <w:rPr>
                <w:rFonts w:ascii="Calibri" w:hAnsi="Calibri"/>
                <w:color w:val="0F172A"/>
                <w:sz w:val="17"/>
              </w:rPr>
              <w:t>All conceptual suggestions and research findings were audited by the team against offline deployment constraints and official technical documentation.</w:t>
            </w:r>
          </w:p>
        </w:tc>
        <w:tc>
          <w:tcPr>
            <w:tcW w:type="dxa" w:w="5112"/>
            <w:shd w:fill="F0FDF4"/>
            <w:tcBorders>
              <w:top w:val="single" w:sz="12" w:space="0" w:color="BBF7D0"/>
              <w:left w:val="single" w:sz="12" w:space="0" w:color="BBF7D0"/>
              <w:bottom w:val="single" w:sz="12" w:space="0" w:color="BBF7D0"/>
              <w:right w:val="single" w:sz="12" w:space="0" w:color="BBF7D0"/>
            </w:tcBorders>
            <w:tcMar>
              <w:top w:w="180" w:type="dxa"/>
              <w:bottom w:w="180" w:type="dxa"/>
              <w:left w:w="220" w:type="dxa"/>
              <w:right w:w="22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15803D"/>
                <w:sz w:val="24"/>
              </w:rPr>
              <w:t>❖ Microsoft Copilot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color w:val="475569"/>
                <w:sz w:val="19"/>
              </w:rPr>
              <w:t>Documentation Authoring, Alignment &amp; Grammar Polish</w:t>
            </w:r>
          </w:p>
          <w:p>
            <w:pPr>
              <w:spacing w:before="0" w:after="80"/>
            </w:pPr>
            <w:r>
              <w:rPr>
                <w:rFonts w:ascii="Calibri" w:hAnsi="Calibri"/>
                <w:b/>
                <w:color w:val="0F172A"/>
                <w:sz w:val="18"/>
              </w:rPr>
              <w:t xml:space="preserve">Generated Output: </w:t>
            </w:r>
            <w:r>
              <w:rPr>
                <w:rFonts w:ascii="Calibri" w:hAnsi="Calibri"/>
                <w:color w:val="0F172A"/>
                <w:sz w:val="17"/>
              </w:rPr>
              <w:t>Assisted in drafting documentation sections, proofreading prose, correcting grammatical errors, aligning document layout, and checking formatting consistency across report appendices.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Team Verification: </w:t>
            </w:r>
            <w:r>
              <w:rPr>
                <w:rFonts w:ascii="Calibri" w:hAnsi="Calibri"/>
                <w:color w:val="0F172A"/>
                <w:sz w:val="17"/>
              </w:rPr>
              <w:t>The team conducted manual peer-reviews on all drafted text to ensure academic tone, accurate technical claims, and strict compliance with university rubrics.</w:t>
            </w:r>
          </w:p>
        </w:tc>
      </w:tr>
    </w:tbl>
    <w:p>
      <w:pPr>
        <w:spacing w:after="240"/>
      </w:pPr>
    </w:p>
    <w:p>
      <w:pPr>
        <w:spacing w:before="200"/>
        <w:jc w:val="right"/>
      </w:pPr>
      <w:r>
        <w:rPr>
          <w:rFonts w:ascii="Calibri" w:hAnsi="Calibri"/>
          <w:i/>
          <w:color w:val="475569"/>
          <w:sz w:val="17"/>
        </w:rPr>
        <w:t>Page 18 • Academic Integrity &amp; Generative AI Disclosure • Omega Engineers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