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0"/>
        </w:rPr>
        <w:t>Omega Engineers SSMS — Comprehensive Report Corrections</w:t>
      </w:r>
    </w:p>
    <w:p>
      <w:pPr>
        <w:spacing w:after="280"/>
      </w:pPr>
      <w:r>
        <w:rPr>
          <w:rFonts w:ascii="Calibri" w:hAnsi="Calibri"/>
          <w:i/>
          <w:color w:val="475569"/>
          <w:sz w:val="21"/>
        </w:rPr>
        <w:t>Verified Real-World Alignment for Generative AI Declarations (Cards &amp; Table), Git Profile, and Architecture Tree</w:t>
      </w:r>
    </w:p>
    <w:p>
      <w:pPr>
        <w:spacing w:before="120" w:after="40"/>
      </w:pPr>
      <w:r>
        <w:rPr>
          <w:rFonts w:ascii="Calibri" w:hAnsi="Calibri"/>
          <w:b/>
          <w:color w:val="1E3A8A"/>
          <w:sz w:val="26"/>
        </w:rPr>
        <w:t>1. Page 18: Appendix — Generative AI Usage Declaration (Card Layout)</w:t>
      </w:r>
    </w:p>
    <w:p>
      <w:pPr>
        <w:spacing w:after="160"/>
      </w:pPr>
      <w:r>
        <w:rPr>
          <w:rFonts w:ascii="Calibri" w:hAnsi="Calibri"/>
          <w:i/>
          <w:color w:val="475569"/>
          <w:sz w:val="19"/>
        </w:rPr>
        <w:t>Corresponds to Slide / Page 18: Academic Integrity &amp; Disclosure (Cards Grid)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0F9FF"/>
            <w:tcBorders>
              <w:top w:val="single" w:sz="12" w:space="0" w:color="93C5FD"/>
              <w:left w:val="single" w:sz="12" w:space="0" w:color="93C5FD"/>
              <w:bottom w:val="single" w:sz="12" w:space="0" w:color="93C5FD"/>
              <w:right w:val="single" w:sz="12" w:space="0" w:color="93C5FD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D4ED8"/>
                <w:sz w:val="22"/>
              </w:rPr>
              <w:t>⚡ Google DeepMind Antigravity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75569"/>
                <w:sz w:val="18"/>
              </w:rPr>
              <w:t>Full-Stack Coding &amp; Prototype Implementation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6"/>
              </w:rPr>
              <w:t>Assisted in generating the full-stack Electron desktop codebase, modular IPC handlers, preload contextBridge, 13 domain services, React UI views, and the automated integration test suite (integration.test.cjs).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D4ED8"/>
                <w:sz w:val="17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6"/>
              </w:rPr>
              <w:t>Every component was locally tested, verified via integration suites, checked for contextIsolation security, and validated with SQLite WAL mode execution.</w:t>
            </w:r>
          </w:p>
        </w:tc>
        <w:tc>
          <w:tcPr>
            <w:tcW w:type="dxa" w:w="5112"/>
            <w:shd w:fill="FFF7ED"/>
            <w:tcBorders>
              <w:top w:val="single" w:sz="12" w:space="0" w:color="FED7AA"/>
              <w:left w:val="single" w:sz="12" w:space="0" w:color="FED7AA"/>
              <w:bottom w:val="single" w:sz="12" w:space="0" w:color="FED7AA"/>
              <w:right w:val="single" w:sz="12" w:space="0" w:color="FED7AA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2410C"/>
                <w:sz w:val="22"/>
              </w:rPr>
              <w:t>✴ Claude AI (Anthropic)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75569"/>
                <w:sz w:val="18"/>
              </w:rPr>
              <w:t>Wireframing, Requirements &amp; MoSCoW Prioritization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6"/>
              </w:rPr>
              <w:t>Assisted in creating interactive HTML wireframe layouts (Original_Wireframes.html), formalizing Functional &amp; Non-Functional specifications, and structuring the MoSCoW prioritization matrix.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C2410C"/>
                <w:sz w:val="17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6"/>
              </w:rPr>
              <w:t>Wireframes and prioritized requirements were cross-verified against actual counter workflows and operational boundaries at Omega Engineers.</w:t>
            </w:r>
          </w:p>
        </w:tc>
      </w:tr>
      <w:tr>
        <w:tc>
          <w:tcPr>
            <w:tcW w:type="dxa" w:w="5112"/>
            <w:shd w:fill="FAF5FF"/>
            <w:tcBorders>
              <w:top w:val="single" w:sz="12" w:space="0" w:color="E9D5FF"/>
              <w:left w:val="single" w:sz="12" w:space="0" w:color="E9D5FF"/>
              <w:bottom w:val="single" w:sz="12" w:space="0" w:color="E9D5FF"/>
              <w:right w:val="single" w:sz="12" w:space="0" w:color="E9D5FF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7E22CE"/>
                <w:sz w:val="22"/>
              </w:rPr>
              <w:t>✦ Gemini (Google)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75569"/>
                <w:sz w:val="18"/>
              </w:rPr>
              <w:t>Idea Generation, Technical Research &amp; Domain Q&amp;A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6"/>
              </w:rPr>
              <w:t>Helped brainstorm system architectural alternatives, clarify unfamiliar technical concepts, explore service station business practices, and investigate FIFO inventory valuation models.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E22CE"/>
                <w:sz w:val="17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6"/>
              </w:rPr>
              <w:t>All conceptual suggestions and research findings were audited by the team against offline deployment constraints and official technical documentation.</w:t>
            </w:r>
          </w:p>
        </w:tc>
        <w:tc>
          <w:tcPr>
            <w:tcW w:type="dxa" w:w="5112"/>
            <w:shd w:fill="F0FDF4"/>
            <w:tcBorders>
              <w:top w:val="single" w:sz="12" w:space="0" w:color="BBF7D0"/>
              <w:left w:val="single" w:sz="12" w:space="0" w:color="BBF7D0"/>
              <w:bottom w:val="single" w:sz="12" w:space="0" w:color="BBF7D0"/>
              <w:right w:val="single" w:sz="12" w:space="0" w:color="BBF7D0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5803D"/>
                <w:sz w:val="22"/>
              </w:rPr>
              <w:t>❖ Microsoft Copilot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475569"/>
                <w:sz w:val="18"/>
              </w:rPr>
              <w:t>Documentation Authoring, Alignment &amp; Grammar Polish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6"/>
              </w:rPr>
              <w:t>Assisted in drafting documentation sections, proofreading prose, correcting grammatical errors, aligning document layout, and checking formatting consistency across report appendices.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17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6"/>
              </w:rPr>
              <w:t>The team conducted manual peer-reviews on all drafted text to ensure academic tone, accurate technical claims, and strict compliance with university rubrics.</w:t>
            </w:r>
          </w:p>
        </w:tc>
      </w:tr>
    </w:tbl>
    <w:p>
      <w:pPr>
        <w:spacing w:after="280"/>
      </w:pPr>
    </w:p>
    <w:p>
      <w:pPr>
        <w:spacing w:before="160" w:after="40"/>
      </w:pPr>
      <w:r>
        <w:rPr>
          <w:rFonts w:ascii="Calibri" w:hAnsi="Calibri"/>
          <w:b/>
          <w:color w:val="1E3A8A"/>
          <w:sz w:val="26"/>
        </w:rPr>
        <w:t>2. Page 45: AI Tools Detailed Verification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728"/>
        <w:gridCol w:w="2736"/>
        <w:gridCol w:w="2736"/>
        <w:gridCol w:w="3024"/>
      </w:tblGrid>
      <w:tr>
        <w:tc>
          <w:tcPr>
            <w:tcW w:type="dxa" w:w="1728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AI tools used</w:t>
            </w:r>
          </w:p>
        </w:tc>
        <w:tc>
          <w:tcPr>
            <w:tcW w:type="dxa" w:w="2736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 of use</w:t>
            </w:r>
          </w:p>
        </w:tc>
        <w:tc>
          <w:tcPr>
            <w:tcW w:type="dxa" w:w="2736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Generated outputs</w:t>
            </w:r>
          </w:p>
        </w:tc>
        <w:tc>
          <w:tcPr>
            <w:tcW w:type="dxa" w:w="3024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How the outputs were verified and refined by the team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Gemini</w:t>
              <w:br/>
              <w:t>(Google)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Conceptual ideation, exploratory research on automotive service workflows, and technical inquiry into unfamiliar concepts and architecture options.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Brainstormed system concepts, domain knowledge on service station operations, comparative research on offline database options, and FIFO inventory logic.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The team reviewed research insights against actual counter operations at Omega Engineers, validating feasibility and filtering applicable ideas.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Claude</w:t>
              <w:br/>
              <w:t>(Anthropic)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Designing interactive UI wireframes, formalizing Software Requirements Specification (SRS), and structuring MoSCoW prioritization.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Interactive HTML/CSS wireframe prototypes (Original_Wireframes.html), structured Functional &amp; Non-Functional requirements list, and prioritized MoSCoW matrix.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Business Developer H.M.P.S.D.W. Herath cross-verified each wireframe and requirement against physical station workflows, ensuring operational role boundaries were strictly preserved.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Microsoft</w:t>
              <w:br/>
              <w:t>Copilot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Academic documentation preparation, text alignment, formatting consistency, and grammatical enhancement across report sections.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Polished academic prose, corrected grammatical phrasing, coherent technical section transitions, and formatted documentation tables.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The entire team conducted peer reviews on all drafted sections to ensure academic rigor, accurate student details (724701588), and rubric compliance.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Google DeepMind</w:t>
              <w:br/>
              <w:t>Antigravity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Full-stack application code generation, interactive prototype development, modular Electron/React architecture implementation, and test automation.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Production-ready Electron desktop source code (main process, IPC handlers, preload contextBridge, React UI pages, 13 domain services, and automated integration test suite).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7"/>
              </w:rPr>
              <w:t>Backend Lead W.M.P.R. Weerasinghe and developers validated code via automated integration tests (tests/integration.test.cjs), verified contextIsolation security, and built the NSIS Windows installer.</w:t>
            </w:r>
          </w:p>
        </w:tc>
      </w:tr>
    </w:tbl>
    <w:p>
      <w:pPr>
        <w:spacing w:after="280"/>
      </w:pPr>
    </w:p>
    <w:p>
      <w:pPr>
        <w:spacing w:before="160" w:after="40"/>
      </w:pPr>
      <w:r>
        <w:rPr>
          <w:rFonts w:ascii="Calibri" w:hAnsi="Calibri"/>
          <w:b/>
          <w:color w:val="1E3A8A"/>
          <w:sz w:val="26"/>
        </w:rPr>
        <w:t>3. Appendix D: Real Git Repository Metrics &amp; Modular Tree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Repository URL: </w:t>
      </w:r>
      <w:r>
        <w:rPr>
          <w:rFonts w:ascii="Calibri" w:hAnsi="Calibri"/>
          <w:color w:val="1E3A8A"/>
          <w:sz w:val="19"/>
          <w:u w:val="single"/>
        </w:rPr>
        <w:t>https://github.com/Comadu68/omega-engineers-sms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Primary / Default Branch: </w:t>
      </w:r>
      <w:r>
        <w:rPr>
          <w:rFonts w:ascii="Calibri" w:hAnsi="Calibri"/>
          <w:color w:val="0F172A"/>
          <w:sz w:val="19"/>
        </w:rPr>
        <w:t>main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Branching Strategy: </w:t>
      </w:r>
      <w:r>
        <w:rPr>
          <w:rFonts w:ascii="Calibri" w:hAnsi="Calibri"/>
          <w:color w:val="0F172A"/>
          <w:sz w:val="19"/>
        </w:rPr>
        <w:t>Centralized Mainline (Trunk-Based) Milestone Delivery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Total Tracked Commits: </w:t>
      </w:r>
      <w:r>
        <w:rPr>
          <w:rFonts w:ascii="Calibri" w:hAnsi="Calibri"/>
          <w:color w:val="0F172A"/>
          <w:sz w:val="19"/>
        </w:rPr>
        <w:t>3 consolidated milestone releases (118 files, 20,200+ lines of production code)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Active Committer / Lead: </w:t>
      </w:r>
      <w:r>
        <w:rPr>
          <w:rFonts w:ascii="Calibri" w:hAnsi="Calibri"/>
          <w:color w:val="0F172A"/>
          <w:sz w:val="19"/>
        </w:rPr>
        <w:t>Comadu68 &lt;pathum15333@gmail.com&gt;</w:t>
      </w:r>
    </w:p>
    <w:p>
      <w:pPr>
        <w:spacing w:before="20" w:after="40"/>
        <w:ind w:left="288"/>
      </w:pPr>
      <w:r>
        <w:rPr>
          <w:rFonts w:ascii="Calibri" w:hAnsi="Calibri"/>
          <w:b/>
          <w:color w:val="0F172A"/>
          <w:sz w:val="19"/>
        </w:rPr>
        <w:t xml:space="preserve">• Quality Assurance &amp; Verification Gates: </w:t>
      </w:r>
      <w:r>
        <w:rPr>
          <w:rFonts w:ascii="Calibri" w:hAnsi="Calibri"/>
          <w:color w:val="0F172A"/>
          <w:sz w:val="19"/>
        </w:rPr>
        <w:t>Automated Suite (tests/integration.test.cjs), ContextIsolation runtime validation, and Electron Builder NSIS release packaging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296"/>
        <w:gridCol w:w="1584"/>
        <w:gridCol w:w="2448"/>
        <w:gridCol w:w="4896"/>
      </w:tblGrid>
      <w:tr>
        <w:tc>
          <w:tcPr>
            <w:tcW w:type="dxa" w:w="12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Commit Hash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4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48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Commit Message &amp; Deliverable Scope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6"/>
              </w:rPr>
              <w:t>dc879cf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2026-10-09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Comadu68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Update Readme.md</w:t>
              <w:br/>
              <w:t>Added system deployment notes, execution prerequisites, and run guide.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6"/>
              </w:rPr>
              <w:t>8a80cdd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2026-10-07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Comadu68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Initial commit: Omega Service Station System</w:t>
              <w:br/>
              <w:t>Integrated full core application milestone: 118 files, 20,245 lines (Electron main/preload, SQLite schema &amp; seed, 13 domain services, 13 React UI views, automated test suite).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6"/>
              </w:rPr>
              <w:t>0090353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2026-10-07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Comadu68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Initial commit</w:t>
              <w:br/>
              <w:t>Initialized Git repository and base workspace structure.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34155"/>
              <w:top w:val="single" w:sz="12" w:space="0" w:color="334155"/>
              <w:right w:val="single" w:sz="12" w:space="0" w:color="334155"/>
              <w:bottom w:val="single" w:sz="12" w:space="0" w:color="334155"/>
            </w:tcBorders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color w:val="E2E8F0"/>
                <w:sz w:val="15"/>
              </w:rPr>
              <w:t>omega-engineers-sms/</w:t>
              <w:br/>
              <w:t>|-- /src/</w:t>
              <w:br/>
              <w:t>|   |-- /main/                      # Electron Main Process (OS lifecycle, window orchestration)</w:t>
              <w:br/>
              <w:t>|   |   |-- main.cjs                # Main entry point &amp; browser window initialization</w:t>
              <w:br/>
              <w:t>|   |   |-- /ipc/                   # Modular IPC channel registration handlers</w:t>
              <w:br/>
              <w:t>|   |   |   |-- index.cjs           # Aggregator for all IPC registrations</w:t>
              <w:br/>
              <w:t>|   |   |   |-- auth.ipc.cjs        # Authentication &amp; user management IPC</w:t>
              <w:br/>
              <w:t>|   |   |   |-- jobs.ipc.cjs        # Job card workflow &amp; task execution IPC</w:t>
              <w:br/>
              <w:t>|   |   |   |-- inventory.ipc.cjs   # Inventory stock, batches, &amp; FIFO tracking IPC</w:t>
              <w:br/>
              <w:t>|   |   |   |-- invoices.ipc.cjs    # Billing calculation &amp; invoice generation IPC</w:t>
              <w:br/>
              <w:t>|   |   |   |-- backup.ipc.cjs      # Database backup &amp; restore IPC (.bak)</w:t>
              <w:br/>
              <w:t>|   |   |   `-- ...                 # appointments, customers, mechanics, reports, etc.</w:t>
              <w:br/>
              <w:t>|   |   `-- /services/              # Domain-Driven Business Logic &amp; Security Services</w:t>
              <w:br/>
              <w:t>|   |       |-- authService.cjs     # PBKDF2 hashing, per-user salt generation, RBAC</w:t>
              <w:br/>
              <w:t>|   |       |-- jobService.cjs      # Job card state machine &amp; mechanic assignments</w:t>
              <w:br/>
              <w:t>|   |       |-- inventoryService.cjs# Stock thresholds, FIFO batch deductions, valuations</w:t>
              <w:br/>
              <w:t>|   |       |-- invoiceService.cjs  # Parts + Labor + Tax billing engine &amp; balance tracking</w:t>
              <w:br/>
              <w:t>|   |       |-- backupService.cjs   # Automated SQLite database backup &amp; validation</w:t>
              <w:br/>
              <w:t>|   |       `-- ...                 # customerService, mechanicService, reportService, etc.</w:t>
              <w:br/>
              <w:t>|   |</w:t>
              <w:br/>
              <w:t>|   |-- /preload/                   # Secure IPC Context Isolation Layer</w:t>
              <w:br/>
              <w:t>|   |   `-- preload.cjs             # contextBridge.exposeInMainWorld('omega', ...) API</w:t>
              <w:br/>
              <w:t>|   |</w:t>
              <w:br/>
              <w:t>|   |-- /database/                  # Embedded SQLite Persistence Layer</w:t>
              <w:br/>
              <w:t>|   |   |-- db.cjs                  # better-sqlite3 connection with WAL mode &amp; foreign keys</w:t>
              <w:br/>
              <w:t>|   |   |-- schema.sql              # Normalized DDL schema (19 relational tables &amp; indexes)</w:t>
              <w:br/>
              <w:t>|   |   `-- seed.sql                # Default initial seed data &amp; presets</w:t>
              <w:br/>
              <w:t>|   |</w:t>
              <w:br/>
              <w:t>|   `-- /renderer/                  # Presentation Layer (React.js + Vite UI)</w:t>
              <w:br/>
              <w:t>|       |-- App.jsx                 # Application root &amp; authentication router</w:t>
              <w:br/>
              <w:t>|       |-- main.jsx                # React DOM entry point</w:t>
              <w:br/>
              <w:t>|       |-- /components/            # Reusable UI tokens (Sidebar, Topbar, Modal, Badge)</w:t>
              <w:br/>
              <w:t>|       |-- /pages/                 # Role-based screens &amp; functional views</w:t>
              <w:br/>
              <w:t>|       |   |-- Dashboard.jsx       # Operational metrics &amp; status overview</w:t>
              <w:br/>
              <w:t>|       |   |-- JobCards.jsx        # Job card management &amp; dispatching</w:t>
              <w:br/>
              <w:t>|       |   |-- Inventory.jsx       # Stock tracking, batch intake, supplier management</w:t>
              <w:br/>
              <w:t>|       |   |-- Invoices.jsx        # Invoicing, payment collection, receipts</w:t>
              <w:br/>
              <w:t>|       |   |-- InvoicePrintView.jsx# Print layout for A4 invoices &amp; thermal print</w:t>
              <w:br/>
              <w:t>|       |   |-- Reports.jsx         # Financial, job performance, and inventory reports</w:t>
              <w:br/>
              <w:t>|       |   `-- ...                 # Appointments, Customers, Mechanics, Settings, Login</w:t>
              <w:br/>
              <w:t>|       `-- /styles/                # Design system &amp; CSS styling</w:t>
              <w:br/>
              <w:t>|           `-- global.css          # Color tokens, typography, and @media print rules</w:t>
              <w:br/>
              <w:t>|</w:t>
              <w:br/>
              <w:t>`-- /tests/                         # Automated Verification Suite</w:t>
              <w:br/>
              <w:t xml:space="preserve">    `-- integration.test.cjs        # End-to-end integration &amp; database regression tests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