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1E3A8A"/>
          <w:sz w:val="44"/>
        </w:rPr>
        <w:t>Project Architecture &amp; Directory Tree Audit</w:t>
      </w:r>
    </w:p>
    <w:p>
      <w:pPr>
        <w:spacing w:after="320"/>
      </w:pPr>
      <w:r>
        <w:rPr>
          <w:rFonts w:ascii="Calibri" w:hAnsi="Calibri"/>
          <w:i/>
          <w:color w:val="475569"/>
          <w:sz w:val="24"/>
        </w:rPr>
        <w:t>Verification Analysis &amp; Corrected Specification for Omega Engineers SSMS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FF6FF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24" w:space="0" w:color="2563EB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3A8A"/>
                <w:sz w:val="21"/>
              </w:rPr>
              <w:t xml:space="preserve">Audit Finding: </w:t>
            </w:r>
            <w:r>
              <w:rPr>
                <w:rFonts w:ascii="Calibri" w:hAnsi="Calibri"/>
                <w:color w:val="0F172A"/>
                <w:sz w:val="20"/>
              </w:rPr>
              <w:t>The directory tree shown in Appendix D of the report contains several critical architectural inaccuracies when compared to the active implementation in the repository. Specifically, it violates Electron security conventions (misplacing contextBridge), misplaces backend service layers, invents non-existent filenames, misstates database schema configuration, and uses incorrect file extensions (.js vs .cjs/.jsx). Below is the comprehensive audit and the drop-in corrected replacement.</w:t>
            </w:r>
          </w:p>
        </w:tc>
      </w:tr>
    </w:tbl>
    <w:p>
      <w:pPr>
        <w:spacing w:after="160"/>
      </w:pPr>
    </w:p>
    <w:p>
      <w:pPr>
        <w:pStyle w:val="Heading1"/>
        <w:spacing w:before="240" w:after="120"/>
      </w:pPr>
      <w:r>
        <w:rPr>
          <w:rFonts w:ascii="Calibri" w:hAnsi="Calibri"/>
          <w:b/>
          <w:color w:val="1E3A8A"/>
          <w:sz w:val="28"/>
        </w:rPr>
        <w:t>1. Technical Discrepancy Breakdown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4" w:space="0" w:color="CBD5E1"/>
          <w:right w:val="none"/>
          <w:insideH w:val="single" w:sz="4" w:space="0" w:color="CBD5E1"/>
          <w:insideV w:val="none"/>
        </w:tblBorders>
      </w:tblPr>
      <w:tblGrid>
        <w:gridCol w:w="2160"/>
        <w:gridCol w:w="3312"/>
        <w:gridCol w:w="4464"/>
      </w:tblGrid>
      <w:tr>
        <w:tc>
          <w:tcPr>
            <w:tcW w:type="dxa" w:w="216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Architecture Component</w:t>
            </w:r>
          </w:p>
        </w:tc>
        <w:tc>
          <w:tcPr>
            <w:tcW w:type="dxa" w:w="3312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Shown in Report Screenshot</w:t>
            </w:r>
          </w:p>
        </w:tc>
        <w:tc>
          <w:tcPr>
            <w:tcW w:type="dxa" w:w="4464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Actual Implementation &amp; Reason for Error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3A8A"/>
                <w:sz w:val="17"/>
              </w:rPr>
              <w:t>Electron Preload &amp;</w:t>
              <w:br/>
              <w:t>contextBridge</w:t>
              <w:br/>
              <w:t>(CRITICAL)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B91C1C"/>
                <w:sz w:val="17"/>
              </w:rPr>
              <w:t>Annotated inside /main/:</w:t>
              <w:br/>
              <w:t>'# Electron Main Process (OS lifecycle, window, contextBridge)'</w:t>
            </w:r>
          </w:p>
        </w:tc>
        <w:tc>
          <w:tcPr>
            <w:tcW w:type="dxa" w:w="4464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Actual: src/preload/preload.cjs</w:t>
              <w:br/>
              <w:br/>
              <w:t>Why it's wrong: In modern Electron with contextIsolation: true, contextBridge CANNOT run in the main process. It must run inside a preload script to safely expose APIs (window.omega) to the renderer. The document completely omitted the src/preload/ folder.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3A8A"/>
                <w:sz w:val="17"/>
              </w:rPr>
              <w:t>Service Layer Placement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B91C1C"/>
                <w:sz w:val="17"/>
              </w:rPr>
              <w:t>Placed at root of src/:</w:t>
              <w:br/>
              <w:t>/src/services/</w:t>
            </w:r>
          </w:p>
        </w:tc>
        <w:tc>
          <w:tcPr>
            <w:tcW w:type="dxa" w:w="4464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Actual: src/main/services/</w:t>
              <w:br/>
              <w:br/>
              <w:t>Why it's wrong: All business services run inside the Node.js Main process (direct database/OS access). They belong inside src/main/services/.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3A8A"/>
                <w:sz w:val="17"/>
              </w:rPr>
              <w:t>Service File Names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B91C1C"/>
                <w:sz w:val="17"/>
              </w:rPr>
              <w:t>cryptoService.js</w:t>
              <w:br/>
              <w:t>billingEngine.js</w:t>
              <w:br/>
              <w:t>stockValidator.js</w:t>
              <w:br/>
              <w:t>printerService.js</w:t>
            </w:r>
          </w:p>
        </w:tc>
        <w:tc>
          <w:tcPr>
            <w:tcW w:type="dxa" w:w="4464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Actual: 13 Domain-driven services (.cjs):</w:t>
              <w:br/>
              <w:t>• authService.cjs (PBKDF2 salt &amp; hash)</w:t>
              <w:br/>
              <w:t>• invoiceService.cjs (billing &amp; calculation)</w:t>
              <w:br/>
              <w:t>• inventoryService.cjs (stock, batches, FIFO)</w:t>
              <w:br/>
              <w:t>• backupService.cjs, jobService.cjs, etc.</w:t>
              <w:br/>
              <w:br/>
              <w:t>None of the four screenshot filenames exist.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3A8A"/>
                <w:sz w:val="17"/>
              </w:rPr>
              <w:t>IPC Handlers Architecture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B91C1C"/>
                <w:sz w:val="17"/>
              </w:rPr>
              <w:t>/main/index.js</w:t>
              <w:br/>
              <w:t>'# Main entry point &amp; IPC registration handlers'</w:t>
            </w:r>
          </w:p>
        </w:tc>
        <w:tc>
          <w:tcPr>
            <w:tcW w:type="dxa" w:w="4464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Actual: src/main/main.cjs + src/main/ipc/</w:t>
              <w:br/>
              <w:br/>
              <w:t>Why it's wrong: Main entry point is main.cjs (per package.json). IPC handlers are modularized into 13 separate channel modules under src/main/ipc/ rather than a single monolithic index.js.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3A8A"/>
                <w:sz w:val="17"/>
              </w:rPr>
              <w:t>Database Schema &amp;</w:t>
              <w:br/>
              <w:t>Persistence Layer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B91C1C"/>
                <w:sz w:val="17"/>
              </w:rPr>
              <w:t>/database/db.js</w:t>
              <w:br/>
              <w:t>/database/migrations/</w:t>
              <w:br/>
              <w:t>'# Normalized DDL scripts (12 relational tables)'</w:t>
            </w:r>
          </w:p>
        </w:tc>
        <w:tc>
          <w:tcPr>
            <w:tcW w:type="dxa" w:w="4464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Actual: src/database/schema.sql + db.cjs</w:t>
              <w:br/>
              <w:br/>
              <w:t>Why it's wrong: No migrations/ directory exists. The canonical DDL is schema.sql, which defines 19 normalized tables and indexes (not 12), plus seed.sql.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3A8A"/>
                <w:sz w:val="17"/>
              </w:rPr>
              <w:t>Renderer View Layer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B91C1C"/>
                <w:sz w:val="17"/>
              </w:rPr>
              <w:t>/renderer/screens/</w:t>
              <w:br/>
              <w:t>/renderer/print-layouts/</w:t>
            </w:r>
          </w:p>
        </w:tc>
        <w:tc>
          <w:tcPr>
            <w:tcW w:type="dxa" w:w="4464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Actual: src/renderer/pages/</w:t>
              <w:br/>
              <w:br/>
              <w:t>Why it's wrong: Directory is named pages/, containing 13 React views. Printing is managed via InvoicePrintView.jsx and global.css print styles; there is no separate print-layouts/ directory.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3A8A"/>
                <w:sz w:val="17"/>
              </w:rPr>
              <w:t>File Extensions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B91C1C"/>
                <w:sz w:val="17"/>
              </w:rPr>
              <w:t>Generic .js everywhere</w:t>
            </w:r>
          </w:p>
        </w:tc>
        <w:tc>
          <w:tcPr>
            <w:tcW w:type="dxa" w:w="4464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Actual: .cjs for backend, .jsx for frontend</w:t>
              <w:br/>
              <w:br/>
              <w:t>Why it's wrong: CommonJS is required for the Electron backend runtime (.cjs), while React Vite components use .jsx.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3A8A"/>
                <w:sz w:val="17"/>
              </w:rPr>
              <w:t>Repository / Root Naming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B91C1C"/>
                <w:sz w:val="17"/>
              </w:rPr>
              <w:t>Root folder: omega-engineers-ssms/</w:t>
              <w:br/>
              <w:t>Repo URL: omega-engineers-sms</w:t>
            </w:r>
          </w:p>
        </w:tc>
        <w:tc>
          <w:tcPr>
            <w:tcW w:type="dxa" w:w="4464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Actual Repo: omega-engineers-sms</w:t>
              <w:br/>
              <w:t>Package Name: omega-engineers-service-station</w:t>
              <w:br/>
              <w:br/>
              <w:t>There is a spelling mismatch in the document header.</w:t>
            </w:r>
          </w:p>
        </w:tc>
      </w:tr>
    </w:tbl>
    <w:p>
      <w:pPr>
        <w:spacing w:after="240"/>
      </w:pPr>
    </w:p>
    <w:p>
      <w:pPr>
        <w:pStyle w:val="Heading1"/>
        <w:spacing w:before="280" w:after="120"/>
      </w:pPr>
      <w:r>
        <w:rPr>
          <w:rFonts w:ascii="Calibri" w:hAnsi="Calibri"/>
          <w:b/>
          <w:color w:val="1E3A8A"/>
          <w:sz w:val="28"/>
        </w:rPr>
        <w:t>2. Recommended Drop-in Replacement for Appendix D</w:t>
      </w:r>
    </w:p>
    <w:p>
      <w:pPr>
        <w:spacing w:after="120"/>
      </w:pPr>
      <w:r>
        <w:rPr>
          <w:rFonts w:ascii="Calibri" w:hAnsi="Calibri"/>
          <w:i/>
          <w:sz w:val="20"/>
        </w:rPr>
        <w:t>You can directly copy and paste the following text into your project documentation or final report to accurately reflect the true codebase structure: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12" w:space="0" w:color="334155"/>
              <w:top w:val="single" w:sz="12" w:space="0" w:color="334155"/>
              <w:right w:val="single" w:sz="12" w:space="0" w:color="334155"/>
              <w:bottom w:val="single" w:sz="12" w:space="0" w:color="334155"/>
            </w:tcBorders>
          </w:tcPr>
          <w:p>
            <w:pPr>
              <w:spacing w:before="0" w:after="0" w:line="220" w:lineRule="exact"/>
            </w:pPr>
            <w:r>
              <w:rPr>
                <w:rFonts w:ascii="Consolas" w:hAnsi="Consolas"/>
                <w:color w:val="E2E8F0"/>
                <w:sz w:val="16"/>
              </w:rPr>
              <w:t>omega-engineers-sms/</w:t>
              <w:br/>
              <w:t>|-- /src/</w:t>
              <w:br/>
              <w:t>|   |-- /main/                      # Electron Main Process (OS lifecycle, window orchestration)</w:t>
              <w:br/>
              <w:t>|   |   |-- main.cjs                # Main entry point &amp; browser window initialization</w:t>
              <w:br/>
              <w:t>|   |   |-- /ipc/                   # Modular IPC channel registration handlers</w:t>
              <w:br/>
              <w:t>|   |   |   |-- index.cjs           # Aggregator for all IPC registrations</w:t>
              <w:br/>
              <w:t>|   |   |   |-- auth.ipc.cjs        # Authentication &amp; user management IPC</w:t>
              <w:br/>
              <w:t>|   |   |   |-- jobs.ipc.cjs        # Job card workflow &amp; task execution IPC</w:t>
              <w:br/>
              <w:t>|   |   |   |-- inventory.ipc.cjs   # Inventory stock, batches, &amp; FIFO tracking IPC</w:t>
              <w:br/>
              <w:t>|   |   |   |-- invoices.ipc.cjs    # Billing calculation &amp; invoice generation IPC</w:t>
              <w:br/>
              <w:t>|   |   |   |-- backup.ipc.cjs      # Database backup &amp; restore IPC (.bak)</w:t>
              <w:br/>
              <w:t>|   |   |   `-- ...                 # appointments, customers, mechanics, reports, etc.</w:t>
              <w:br/>
              <w:t>|   |   `-- /services/              # Domain-Driven Business Logic &amp; Security Services</w:t>
              <w:br/>
              <w:t>|   |       |-- authService.cjs     # PBKDF2 hashing, per-user salt generation, RBAC</w:t>
              <w:br/>
              <w:t>|   |       |-- jobService.cjs      # Job card state machine &amp; mechanic assignments</w:t>
              <w:br/>
              <w:t>|   |       |-- inventoryService.cjs# Stock thresholds, FIFO batch deductions, valuations</w:t>
              <w:br/>
              <w:t>|   |       |-- invoiceService.cjs  # Parts + Labor + Tax billing engine &amp; balance tracking</w:t>
              <w:br/>
              <w:t>|   |       |-- backupService.cjs   # Automated SQLite database backup &amp; validation</w:t>
              <w:br/>
              <w:t>|   |       `-- ...                 # customerService, mechanicService, reportService, etc.</w:t>
              <w:br/>
              <w:t>|   |</w:t>
              <w:br/>
              <w:t>|   |-- /preload/                   # Secure IPC Context Isolation Layer</w:t>
              <w:br/>
              <w:t>|   |   `-- preload.cjs             # contextBridge.exposeInMainWorld('omega', ...) API</w:t>
              <w:br/>
              <w:t>|   |</w:t>
              <w:br/>
              <w:t>|   |-- /database/                  # Embedded SQLite Persistence Layer</w:t>
              <w:br/>
              <w:t>|   |   |-- db.cjs                  # better-sqlite3 connection with WAL mode &amp; foreign keys</w:t>
              <w:br/>
              <w:t>|   |   |-- schema.sql              # Normalized DDL schema (19 relational tables &amp; indexes)</w:t>
              <w:br/>
              <w:t>|   |   `-- seed.sql                # Default initial seed data &amp; presets</w:t>
              <w:br/>
              <w:t>|   |</w:t>
              <w:br/>
              <w:t>|   `-- /renderer/                  # Presentation Layer (React.js + Vite UI)</w:t>
              <w:br/>
              <w:t>|       |-- App.jsx                 # Application root &amp; authentication router</w:t>
              <w:br/>
              <w:t>|       |-- main.jsx                # React DOM entry point</w:t>
              <w:br/>
              <w:t>|       |-- /components/            # Reusable UI tokens (Sidebar, Topbar, Modal, Badge)</w:t>
              <w:br/>
              <w:t>|       |-- /pages/                 # Role-based screens &amp; functional views</w:t>
              <w:br/>
              <w:t>|       |   |-- Dashboard.jsx       # Operational metrics &amp; status overview</w:t>
              <w:br/>
              <w:t>|       |   |-- JobCards.jsx        # Job card management &amp; dispatching</w:t>
              <w:br/>
              <w:t>|       |   |-- Inventory.jsx       # Stock tracking, batch intake, supplier management</w:t>
              <w:br/>
              <w:t>|       |   |-- Invoices.jsx        # Invoicing, payment collection, receipts</w:t>
              <w:br/>
              <w:t>|       |   |-- InvoicePrintView.jsx# Print layout for A4 invoices &amp; thermal print</w:t>
              <w:br/>
              <w:t>|       |   |-- Reports.jsx         # Financial, job performance, and inventory reports</w:t>
              <w:br/>
              <w:t>|       |   `-- ...                 # Appointments, Customers, Mechanics, Settings, Login</w:t>
              <w:br/>
              <w:t>|       `-- /styles/                # Design system &amp; CSS styling</w:t>
              <w:br/>
              <w:t>|           `-- global.css          # Color tokens, typography, and @media print rules</w:t>
              <w:br/>
              <w:t>|</w:t>
              <w:br/>
              <w:t>`-- /tests/                         # Verification &amp; Quality Assurance</w:t>
              <w:br/>
              <w:t xml:space="preserve">    `-- integration.test.cjs        # End-to-end integration &amp; database regression tests</w:t>
            </w:r>
          </w:p>
        </w:tc>
      </w:tr>
    </w:tbl>
    <w:p>
      <w:pPr>
        <w:spacing w:after="240"/>
      </w:pPr>
    </w:p>
    <w:p>
      <w:pPr>
        <w:pStyle w:val="Heading1"/>
        <w:spacing w:before="280" w:after="120"/>
      </w:pPr>
      <w:r>
        <w:rPr>
          <w:rFonts w:ascii="Calibri" w:hAnsi="Calibri"/>
          <w:b/>
          <w:color w:val="1E3A8A"/>
          <w:sz w:val="28"/>
        </w:rPr>
        <w:t>3. Defense &amp; Evaluation Talking Points</w:t>
      </w:r>
    </w:p>
    <w:p>
      <w:pPr>
        <w:pStyle w:val="ListBullet"/>
        <w:spacing w:before="40" w:after="80"/>
      </w:pPr>
      <w:r>
        <w:rPr>
          <w:rFonts w:ascii="Calibri" w:hAnsi="Calibri"/>
          <w:b/>
          <w:color w:val="1E3A8A"/>
          <w:sz w:val="20"/>
        </w:rPr>
        <w:t xml:space="preserve">Security Isolation Architecture: </w:t>
      </w:r>
      <w:r>
        <w:rPr>
          <w:rFonts w:ascii="Calibri" w:hAnsi="Calibri"/>
          <w:color w:val="0F172A"/>
          <w:sz w:val="20"/>
        </w:rPr>
        <w:t>Explain that contextBridge is explicitly implemented inside preload.cjs (rather than the main process). This enforces Electron's least-privilege security principle by ensuring the renderer process never has direct Node.js or filesystem access.</w:t>
      </w:r>
    </w:p>
    <w:p>
      <w:pPr>
        <w:pStyle w:val="ListBullet"/>
        <w:spacing w:before="40" w:after="80"/>
      </w:pPr>
      <w:r>
        <w:rPr>
          <w:rFonts w:ascii="Calibri" w:hAnsi="Calibri"/>
          <w:b/>
          <w:color w:val="1E3A8A"/>
          <w:sz w:val="20"/>
        </w:rPr>
        <w:t xml:space="preserve">Modular Service Architecture: </w:t>
      </w:r>
      <w:r>
        <w:rPr>
          <w:rFonts w:ascii="Calibri" w:hAnsi="Calibri"/>
          <w:color w:val="0F172A"/>
          <w:sz w:val="20"/>
        </w:rPr>
        <w:t>Highlight that instead of arbitrary helper scripts (like cryptoService.js or stockValidator.js), the backend follows Domain-Driven Design (DDD) with 13 distinct services matching the business domains (Auth, Jobs, Invoices, Inventory, etc.).</w:t>
      </w:r>
    </w:p>
    <w:p>
      <w:pPr>
        <w:pStyle w:val="ListBullet"/>
        <w:spacing w:before="40" w:after="80"/>
      </w:pPr>
      <w:r>
        <w:rPr>
          <w:rFonts w:ascii="Calibri" w:hAnsi="Calibri"/>
          <w:b/>
          <w:color w:val="1E3A8A"/>
          <w:sz w:val="20"/>
        </w:rPr>
        <w:t xml:space="preserve">IPC Decoupling: </w:t>
      </w:r>
      <w:r>
        <w:rPr>
          <w:rFonts w:ascii="Calibri" w:hAnsi="Calibri"/>
          <w:color w:val="0F172A"/>
          <w:sz w:val="20"/>
        </w:rPr>
        <w:t>Point out that IPC handlers are partitioned across dedicated channel files in src/main/ipc/ rather than lumped into a single monolithic index file, significantly improving maintainability and testability.</w:t>
      </w:r>
    </w:p>
    <w:p>
      <w:pPr>
        <w:pStyle w:val="ListBullet"/>
        <w:spacing w:before="40" w:after="80"/>
      </w:pPr>
      <w:r>
        <w:rPr>
          <w:rFonts w:ascii="Calibri" w:hAnsi="Calibri"/>
          <w:b/>
          <w:color w:val="1E3A8A"/>
          <w:sz w:val="20"/>
        </w:rPr>
        <w:t xml:space="preserve">Normalized Data Layer: </w:t>
      </w:r>
      <w:r>
        <w:rPr>
          <w:rFonts w:ascii="Calibri" w:hAnsi="Calibri"/>
          <w:color w:val="0F172A"/>
          <w:sz w:val="20"/>
        </w:rPr>
        <w:t>State that the SQLite schema contains 19 fully normalized tables with active foreign keys, composite indexes, and WAL (Write-Ahead Logging) mode, rather than the initial 12 tables.</w:t>
      </w:r>
    </w:p>
    <w:p>
      <w:pPr>
        <w:spacing w:after="320"/>
      </w:pPr>
    </w:p>
    <w:p>
      <w:pPr>
        <w:jc w:val="right"/>
      </w:pPr>
      <w:r>
        <w:rPr>
          <w:rFonts w:ascii="Calibri" w:hAnsi="Calibri"/>
          <w:i/>
          <w:color w:val="475569"/>
          <w:sz w:val="17"/>
        </w:rPr>
        <w:t>Generated for Omega Engineers Service Station Management System • 2026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