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06" w14:textId="1EAF5066" w:rsidR="002325C9" w:rsidRPr="00EA2E22" w:rsidRDefault="00722AEF" w:rsidP="00722AEF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</w:pPr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Teoria </w:t>
      </w:r>
      <w:proofErr w:type="spellStart"/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și</w:t>
      </w:r>
      <w:proofErr w:type="spellEnd"/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metodologia</w:t>
      </w:r>
      <w:proofErr w:type="spellEnd"/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curriculumului</w:t>
      </w:r>
      <w:proofErr w:type="spellEnd"/>
    </w:p>
    <w:p w14:paraId="46AC08C9" w14:textId="50D9D58B" w:rsidR="00722AEF" w:rsidRPr="00EA2E22" w:rsidRDefault="00722AE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4FE21D1F" w14:textId="4F8F77AF" w:rsidR="00722AEF" w:rsidRPr="00EA2E22" w:rsidRDefault="00722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22">
        <w:rPr>
          <w:rFonts w:ascii="Times New Roman" w:hAnsi="Times New Roman" w:cs="Times New Roman"/>
          <w:b/>
          <w:bCs/>
          <w:sz w:val="24"/>
          <w:szCs w:val="24"/>
        </w:rPr>
        <w:t>Cap. 5 REŢEAUA CONCEPTELOR NODALE ALE CADRULUI DE REFERINŢĂ</w:t>
      </w:r>
    </w:p>
    <w:p w14:paraId="4DEF5F0C" w14:textId="731E2D77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</w:p>
    <w:p w14:paraId="67C333D3" w14:textId="1FC0F23C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centrare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elev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competenţă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, curriculum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asigurarea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calităţii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educaţiei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>/curriculum</w:t>
      </w:r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nodul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referinţă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care li se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subordonează</w:t>
      </w:r>
      <w:proofErr w:type="spellEnd"/>
    </w:p>
    <w:p w14:paraId="4819A610" w14:textId="1B048B7B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</w:p>
    <w:p w14:paraId="1867B518" w14:textId="70499583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Centrarea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elev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şcolii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procentul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25% din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alocat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domeniului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remedială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copiilor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speciale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consolidarea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cunoştinţelor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stimularea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elevilor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capabili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performanţe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elaborate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</w:t>
      </w:r>
      <w:proofErr w:type="spellEnd"/>
    </w:p>
    <w:p w14:paraId="51F9B8D3" w14:textId="04B50AA5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definitorii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constau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promovează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: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activă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),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contextuală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achiziţii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construiesc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pornind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preexistentă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),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promovează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cooperarea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),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responsabilă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elevul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stabili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priorităţi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devenind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responsabil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).</w:t>
      </w:r>
    </w:p>
    <w:p w14:paraId="30660A79" w14:textId="55AC9614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</w:p>
    <w:p w14:paraId="19AFD7E1" w14:textId="77777777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Competenţa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dovedită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combina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abilităţi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achiziţii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constând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atitudini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muncă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personală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condiţii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eficacitate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eficienţă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A74E02" w14:textId="77777777" w:rsidR="000509D5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Competenţa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este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un concept nodal</w:t>
      </w:r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întrucât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operează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nivelurile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şcolaritate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ariile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curriculare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discipline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65A1A" w14:textId="25CCD297" w:rsidR="00722AEF" w:rsidRPr="00EA2E22" w:rsidRDefault="00722A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corelate: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transversale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vizate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modulului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.</w:t>
      </w:r>
    </w:p>
    <w:p w14:paraId="3DB7A839" w14:textId="29ADBF19" w:rsidR="000509D5" w:rsidRPr="00EA2E22" w:rsidRDefault="00050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tipuri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EA2E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8F28F" w14:textId="02E37BA7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maternă</w:t>
      </w:r>
      <w:proofErr w:type="spellEnd"/>
    </w:p>
    <w:p w14:paraId="6C0B5B0E" w14:textId="3B8D6A25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limbi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străine</w:t>
      </w:r>
      <w:proofErr w:type="spellEnd"/>
    </w:p>
    <w:p w14:paraId="3B2DF092" w14:textId="04C1F470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ştiinţe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tehnologie</w:t>
      </w:r>
      <w:proofErr w:type="spellEnd"/>
    </w:p>
    <w:p w14:paraId="1FCB1E38" w14:textId="1B18183F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informaţionale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comunicaţie</w:t>
      </w:r>
      <w:proofErr w:type="spellEnd"/>
    </w:p>
    <w:p w14:paraId="0666F491" w14:textId="61CD6404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înveţi</w:t>
      </w:r>
      <w:proofErr w:type="spellEnd"/>
    </w:p>
    <w:p w14:paraId="1F82D262" w14:textId="539F7FA7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lastRenderedPageBreak/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relaţionare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interpersonală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civice</w:t>
      </w:r>
      <w:proofErr w:type="spellEnd"/>
    </w:p>
    <w:p w14:paraId="28F102AF" w14:textId="72C7C967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Spirit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iniţiativă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antreprenoriat</w:t>
      </w:r>
      <w:proofErr w:type="spellEnd"/>
    </w:p>
    <w:p w14:paraId="758671EB" w14:textId="5929E34B" w:rsidR="000509D5" w:rsidRPr="00EA2E22" w:rsidRDefault="000509D5" w:rsidP="000509D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Sensibilizare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culturală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exprimare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artistică</w:t>
      </w:r>
      <w:proofErr w:type="spellEnd"/>
    </w:p>
    <w:p w14:paraId="3701A637" w14:textId="46AF15EF" w:rsidR="000509D5" w:rsidRPr="00EA2E22" w:rsidRDefault="000509D5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transversal</w:t>
      </w:r>
      <w:r w:rsidR="001C2AA3" w:rsidRPr="00EA2E2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A2E22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EA2E22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care transcend un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program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studii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au o mare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forţă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transfer</w:t>
      </w:r>
    </w:p>
    <w:p w14:paraId="45E93B1B" w14:textId="41A8EBB7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finalităţile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nivelurile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şcolaritate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unora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filierele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profilurile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calificările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respective.</w:t>
      </w:r>
    </w:p>
    <w:p w14:paraId="0867A7F2" w14:textId="44C2EB7B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/specific: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finalităţi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urmărite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ciclu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şcolaritate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finalităţi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urmărite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an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respectivei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discipline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.</w:t>
      </w:r>
    </w:p>
    <w:p w14:paraId="04D0ABDF" w14:textId="7747C636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dovedită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combina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adecvat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abilităţi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achiziţii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atitudini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)</w:t>
      </w:r>
    </w:p>
    <w:p w14:paraId="35929057" w14:textId="77777777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interfaţă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societate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:</w:t>
      </w:r>
    </w:p>
    <w:p w14:paraId="77B517C9" w14:textId="795E6696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 – pe de 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reper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traseelor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profilul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jalon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operaţionale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lecţiei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Competenţe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BEC0C" w14:textId="52B81938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– pe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direcţiile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viitorului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absolvent,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integrării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sociale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profesionale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E2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.</w:t>
      </w:r>
    </w:p>
    <w:p w14:paraId="7BAC5B59" w14:textId="1294551B" w:rsidR="001C2AA3" w:rsidRPr="00EA2E22" w:rsidRDefault="001C2AA3" w:rsidP="00050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22">
        <w:rPr>
          <w:rFonts w:ascii="Times New Roman" w:hAnsi="Times New Roman" w:cs="Times New Roman"/>
          <w:b/>
          <w:bCs/>
          <w:sz w:val="24"/>
          <w:szCs w:val="24"/>
        </w:rPr>
        <w:t>Curriculum</w:t>
      </w:r>
    </w:p>
    <w:p w14:paraId="72DD1A91" w14:textId="77777777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definită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multidimensională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perspective:</w:t>
      </w:r>
    </w:p>
    <w:p w14:paraId="3A25F6C8" w14:textId="5AC29CA1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structurală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scop-obiective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conţinuturi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instruire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>);</w:t>
      </w:r>
    </w:p>
    <w:p w14:paraId="7058E3BA" w14:textId="1D25471D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procesuală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91975E" w14:textId="76FFC199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manuale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şcolare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auxiliare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ghiduri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metodologice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crestomaţii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softuri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4CB3071D" w14:textId="3EF68296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Curriculumului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naţional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disciplinele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obligatorii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pondere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80%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planurilecadru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învăţământului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70%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liceului</w:t>
      </w:r>
      <w:proofErr w:type="spellEnd"/>
    </w:p>
    <w:p w14:paraId="11FC9920" w14:textId="50C642C5" w:rsidR="001C2AA3" w:rsidRPr="00EA2E22" w:rsidRDefault="001C2AA3" w:rsidP="00050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Curriculumul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trunchiul</w:t>
      </w:r>
      <w:proofErr w:type="spellEnd"/>
      <w:r w:rsidRPr="00EA2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comun</w:t>
      </w:r>
      <w:proofErr w:type="spellEnd"/>
    </w:p>
    <w:p w14:paraId="60FC50A3" w14:textId="18A04697" w:rsidR="001C2AA3" w:rsidRPr="00EA2E22" w:rsidRDefault="001C2AA3" w:rsidP="00050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E22">
        <w:rPr>
          <w:rFonts w:ascii="Times New Roman" w:hAnsi="Times New Roman" w:cs="Times New Roman"/>
          <w:sz w:val="24"/>
          <w:szCs w:val="24"/>
        </w:rPr>
        <w:t xml:space="preserve">Curriculum </w:t>
      </w:r>
      <w:proofErr w:type="spellStart"/>
      <w:r w:rsidRPr="00EA2E22">
        <w:rPr>
          <w:rFonts w:ascii="Times New Roman" w:hAnsi="Times New Roman" w:cs="Times New Roman"/>
          <w:sz w:val="24"/>
          <w:szCs w:val="24"/>
        </w:rPr>
        <w:t>diferenţiat</w:t>
      </w:r>
      <w:proofErr w:type="spellEnd"/>
    </w:p>
    <w:sectPr w:rsidR="001C2AA3" w:rsidRPr="00EA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9"/>
    <w:rsid w:val="000509D5"/>
    <w:rsid w:val="001C2AA3"/>
    <w:rsid w:val="002325C9"/>
    <w:rsid w:val="00722AEF"/>
    <w:rsid w:val="00B6609B"/>
    <w:rsid w:val="00E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20A"/>
  <w15:chartTrackingRefBased/>
  <w15:docId w15:val="{19C86367-CE8D-40B8-8324-FFEE8B0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2020-05-07T16:35:00Z</dcterms:created>
  <dcterms:modified xsi:type="dcterms:W3CDTF">2020-05-10T16:36:00Z</dcterms:modified>
</cp:coreProperties>
</file>