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d2129"/>
          <w:sz w:val="24"/>
          <w:szCs w:val="24"/>
          <w:rtl w:val="0"/>
        </w:rPr>
        <w:t xml:space="preserve">Articolul “Îmbunătățirea rezultatelor educaționale pentru copiii săraci” scris de Brian A. Jacob și Jens Ludwig scoate în evidență problemele existente ale educației în mediile sărace prin înțelegerea motivului și încercarea de a găsi soluții de rezolvare a acestora. Astfel</w:t>
      </w:r>
      <w:r w:rsidDel="00000000" w:rsidR="00000000" w:rsidRPr="00000000">
        <w:rPr>
          <w:rFonts w:ascii="Times New Roman" w:cs="Times New Roman" w:eastAsia="Times New Roman" w:hAnsi="Times New Roman"/>
          <w:sz w:val="24"/>
          <w:szCs w:val="24"/>
          <w:rtl w:val="0"/>
        </w:rPr>
        <w:t xml:space="preserve"> teza articolului este următoarea: s</w:t>
      </w:r>
      <w:r w:rsidDel="00000000" w:rsidR="00000000" w:rsidRPr="00000000">
        <w:rPr>
          <w:rFonts w:ascii="Times New Roman" w:cs="Times New Roman" w:eastAsia="Times New Roman" w:hAnsi="Times New Roman"/>
          <w:sz w:val="24"/>
          <w:szCs w:val="24"/>
          <w:rtl w:val="0"/>
        </w:rPr>
        <w:t xml:space="preserve">tudiile superioare deschid noi oportunități pentru cei ce le urmează, asigurându-le un viitor mai bun.</w:t>
      </w:r>
    </w:p>
    <w:p w:rsidR="00000000" w:rsidDel="00000000" w:rsidP="00000000" w:rsidRDefault="00000000" w:rsidRPr="00000000" w14:paraId="00000002">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remarcă următoarele idei:</w:t>
      </w:r>
    </w:p>
    <w:p w:rsidR="00000000" w:rsidDel="00000000" w:rsidP="00000000" w:rsidRDefault="00000000" w:rsidRPr="00000000" w14:paraId="00000003">
      <w:pPr>
        <w:shd w:fill="ffffff" w:val="clear"/>
        <w:spacing w:after="100" w:before="100" w:line="360" w:lineRule="auto"/>
        <w:jc w:val="both"/>
        <w:rPr>
          <w:rFonts w:ascii="Times New Roman" w:cs="Times New Roman" w:eastAsia="Times New Roman" w:hAnsi="Times New Roman"/>
          <w:color w:val="1d2129"/>
          <w:sz w:val="24"/>
          <w:szCs w:val="24"/>
        </w:rPr>
      </w:pPr>
      <w:r w:rsidDel="00000000" w:rsidR="00000000" w:rsidRPr="00000000">
        <w:rPr>
          <w:rFonts w:ascii="Times New Roman" w:cs="Times New Roman" w:eastAsia="Times New Roman" w:hAnsi="Times New Roman"/>
          <w:color w:val="1d2129"/>
          <w:sz w:val="24"/>
          <w:szCs w:val="24"/>
          <w:rtl w:val="0"/>
        </w:rPr>
        <w:t xml:space="preserve">1.Diferența financiară dintre oamenii care sunt mai educați față de cei mai puțin educați</w:t>
      </w:r>
    </w:p>
    <w:p w:rsidR="00000000" w:rsidDel="00000000" w:rsidP="00000000" w:rsidRDefault="00000000" w:rsidRPr="00000000" w14:paraId="00000004">
      <w:pPr>
        <w:shd w:fill="ffffff" w:val="clear"/>
        <w:spacing w:after="100" w:before="100" w:line="360" w:lineRule="auto"/>
        <w:jc w:val="both"/>
        <w:rPr>
          <w:rFonts w:ascii="Times New Roman" w:cs="Times New Roman" w:eastAsia="Times New Roman" w:hAnsi="Times New Roman"/>
          <w:color w:val="1d2129"/>
          <w:sz w:val="24"/>
          <w:szCs w:val="24"/>
        </w:rPr>
      </w:pPr>
      <w:r w:rsidDel="00000000" w:rsidR="00000000" w:rsidRPr="00000000">
        <w:rPr>
          <w:rFonts w:ascii="Times New Roman" w:cs="Times New Roman" w:eastAsia="Times New Roman" w:hAnsi="Times New Roman"/>
          <w:color w:val="1d2129"/>
          <w:sz w:val="24"/>
          <w:szCs w:val="24"/>
          <w:rtl w:val="0"/>
        </w:rPr>
        <w:t xml:space="preserve">2.Identificarea motivului/motivelor pentru care rezultatele copiilor sunt diferite în funcție de resurse</w:t>
      </w:r>
    </w:p>
    <w:p w:rsidR="00000000" w:rsidDel="00000000" w:rsidP="00000000" w:rsidRDefault="00000000" w:rsidRPr="00000000" w14:paraId="00000005">
      <w:pPr>
        <w:shd w:fill="ffffff" w:val="clear"/>
        <w:spacing w:after="100" w:before="100" w:line="360" w:lineRule="auto"/>
        <w:jc w:val="both"/>
        <w:rPr>
          <w:rFonts w:ascii="Times New Roman" w:cs="Times New Roman" w:eastAsia="Times New Roman" w:hAnsi="Times New Roman"/>
          <w:color w:val="1d2129"/>
          <w:sz w:val="24"/>
          <w:szCs w:val="24"/>
        </w:rPr>
      </w:pPr>
      <w:r w:rsidDel="00000000" w:rsidR="00000000" w:rsidRPr="00000000">
        <w:rPr>
          <w:rFonts w:ascii="Times New Roman" w:cs="Times New Roman" w:eastAsia="Times New Roman" w:hAnsi="Times New Roman"/>
          <w:color w:val="1d2129"/>
          <w:sz w:val="24"/>
          <w:szCs w:val="24"/>
          <w:rtl w:val="0"/>
        </w:rPr>
        <w:t xml:space="preserve">3.Identificarea problemei/problemelor educației copiilor săraci sau din medii social economice mai puțin dezvoltate</w:t>
      </w:r>
    </w:p>
    <w:p w:rsidR="00000000" w:rsidDel="00000000" w:rsidP="00000000" w:rsidRDefault="00000000" w:rsidRPr="00000000" w14:paraId="00000006">
      <w:pPr>
        <w:shd w:fill="ffffff" w:val="clear"/>
        <w:spacing w:after="100" w:before="100" w:line="360" w:lineRule="auto"/>
        <w:jc w:val="both"/>
        <w:rPr>
          <w:rFonts w:ascii="Times New Roman" w:cs="Times New Roman" w:eastAsia="Times New Roman" w:hAnsi="Times New Roman"/>
          <w:color w:val="1d2129"/>
          <w:sz w:val="24"/>
          <w:szCs w:val="24"/>
        </w:rPr>
      </w:pPr>
      <w:r w:rsidDel="00000000" w:rsidR="00000000" w:rsidRPr="00000000">
        <w:rPr>
          <w:rFonts w:ascii="Times New Roman" w:cs="Times New Roman" w:eastAsia="Times New Roman" w:hAnsi="Times New Roman"/>
          <w:color w:val="1d2129"/>
          <w:sz w:val="24"/>
          <w:szCs w:val="24"/>
          <w:rtl w:val="0"/>
        </w:rPr>
        <w:t xml:space="preserve">4.Analiza cercetărilor realizate în ultimii 4 ani</w:t>
      </w:r>
    </w:p>
    <w:p w:rsidR="00000000" w:rsidDel="00000000" w:rsidP="00000000" w:rsidRDefault="00000000" w:rsidRPr="00000000" w14:paraId="00000007">
      <w:pPr>
        <w:shd w:fill="ffffff" w:val="clear"/>
        <w:spacing w:after="100" w:before="100" w:line="360" w:lineRule="auto"/>
        <w:jc w:val="both"/>
        <w:rPr>
          <w:rFonts w:ascii="Times New Roman" w:cs="Times New Roman" w:eastAsia="Times New Roman" w:hAnsi="Times New Roman"/>
          <w:color w:val="1d2129"/>
          <w:sz w:val="24"/>
          <w:szCs w:val="24"/>
        </w:rPr>
      </w:pPr>
      <w:r w:rsidDel="00000000" w:rsidR="00000000" w:rsidRPr="00000000">
        <w:rPr>
          <w:rFonts w:ascii="Times New Roman" w:cs="Times New Roman" w:eastAsia="Times New Roman" w:hAnsi="Times New Roman"/>
          <w:color w:val="1d2129"/>
          <w:sz w:val="24"/>
          <w:szCs w:val="24"/>
          <w:rtl w:val="0"/>
        </w:rPr>
        <w:t xml:space="preserve">5.Un mesaj optimist temperat adresat claselor sociale cu venit mai mic</w:t>
      </w:r>
    </w:p>
    <w:p w:rsidR="00000000" w:rsidDel="00000000" w:rsidP="00000000" w:rsidRDefault="00000000" w:rsidRPr="00000000" w14:paraId="00000008">
      <w:pPr>
        <w:shd w:fill="ffffff" w:val="clear"/>
        <w:spacing w:after="100" w:before="100" w:line="360" w:lineRule="auto"/>
        <w:jc w:val="both"/>
        <w:rPr>
          <w:rFonts w:ascii="Times New Roman" w:cs="Times New Roman" w:eastAsia="Times New Roman" w:hAnsi="Times New Roman"/>
          <w:color w:val="1d2129"/>
          <w:sz w:val="24"/>
          <w:szCs w:val="24"/>
        </w:rPr>
      </w:pPr>
      <w:r w:rsidDel="00000000" w:rsidR="00000000" w:rsidRPr="00000000">
        <w:rPr>
          <w:rFonts w:ascii="Times New Roman" w:cs="Times New Roman" w:eastAsia="Times New Roman" w:hAnsi="Times New Roman"/>
          <w:color w:val="1d2129"/>
          <w:sz w:val="24"/>
          <w:szCs w:val="24"/>
          <w:rtl w:val="0"/>
        </w:rPr>
        <w:t xml:space="preserve">6.Analiza resurselor școlare</w:t>
      </w:r>
    </w:p>
    <w:p w:rsidR="00000000" w:rsidDel="00000000" w:rsidP="00000000" w:rsidRDefault="00000000" w:rsidRPr="00000000" w14:paraId="00000009">
      <w:pPr>
        <w:shd w:fill="ffffff" w:val="clear"/>
        <w:spacing w:after="100" w:before="100" w:line="360" w:lineRule="auto"/>
        <w:jc w:val="both"/>
        <w:rPr>
          <w:rFonts w:ascii="Times New Roman" w:cs="Times New Roman" w:eastAsia="Times New Roman" w:hAnsi="Times New Roman"/>
          <w:color w:val="1d2129"/>
          <w:sz w:val="24"/>
          <w:szCs w:val="24"/>
        </w:rPr>
      </w:pPr>
      <w:r w:rsidDel="00000000" w:rsidR="00000000" w:rsidRPr="00000000">
        <w:rPr>
          <w:rFonts w:ascii="Times New Roman" w:cs="Times New Roman" w:eastAsia="Times New Roman" w:hAnsi="Times New Roman"/>
          <w:color w:val="1d2129"/>
          <w:sz w:val="24"/>
          <w:szCs w:val="24"/>
          <w:rtl w:val="0"/>
        </w:rPr>
        <w:t xml:space="preserve">7.Analiza schimbării practicilor școlare</w:t>
      </w:r>
    </w:p>
    <w:p w:rsidR="00000000" w:rsidDel="00000000" w:rsidP="00000000" w:rsidRDefault="00000000" w:rsidRPr="00000000" w14:paraId="0000000A">
      <w:pPr>
        <w:shd w:fill="ffffff" w:val="clear"/>
        <w:spacing w:after="100" w:before="100" w:line="360" w:lineRule="auto"/>
        <w:jc w:val="both"/>
        <w:rPr>
          <w:rFonts w:ascii="Times New Roman" w:cs="Times New Roman" w:eastAsia="Times New Roman" w:hAnsi="Times New Roman"/>
          <w:color w:val="1d2129"/>
          <w:sz w:val="24"/>
          <w:szCs w:val="24"/>
        </w:rPr>
      </w:pPr>
      <w:r w:rsidDel="00000000" w:rsidR="00000000" w:rsidRPr="00000000">
        <w:rPr>
          <w:rFonts w:ascii="Times New Roman" w:cs="Times New Roman" w:eastAsia="Times New Roman" w:hAnsi="Times New Roman"/>
          <w:color w:val="1d2129"/>
          <w:sz w:val="24"/>
          <w:szCs w:val="24"/>
          <w:rtl w:val="0"/>
        </w:rPr>
        <w:t xml:space="preserve">8.Analiza oferirii stimulentelor pentru profesorii care obțin perfomanțe cu elevii din medii sociale defavorizate și analiza răspunderii acestora</w:t>
      </w:r>
    </w:p>
    <w:p w:rsidR="00000000" w:rsidDel="00000000" w:rsidP="00000000" w:rsidRDefault="00000000" w:rsidRPr="00000000" w14:paraId="0000000B">
      <w:pPr>
        <w:shd w:fill="ffffff" w:val="clear"/>
        <w:spacing w:after="100" w:before="100" w:line="360" w:lineRule="auto"/>
        <w:jc w:val="both"/>
        <w:rPr>
          <w:rFonts w:ascii="Times New Roman" w:cs="Times New Roman" w:eastAsia="Times New Roman" w:hAnsi="Times New Roman"/>
          <w:color w:val="1d2129"/>
          <w:sz w:val="24"/>
          <w:szCs w:val="24"/>
        </w:rPr>
      </w:pPr>
      <w:r w:rsidDel="00000000" w:rsidR="00000000" w:rsidRPr="00000000">
        <w:rPr>
          <w:rFonts w:ascii="Times New Roman" w:cs="Times New Roman" w:eastAsia="Times New Roman" w:hAnsi="Times New Roman"/>
          <w:color w:val="1d2129"/>
          <w:sz w:val="24"/>
          <w:szCs w:val="24"/>
          <w:rtl w:val="0"/>
        </w:rPr>
        <w:t xml:space="preserve">9.Identificarea modului de a alegere școlii</w:t>
      </w:r>
    </w:p>
    <w:p w:rsidR="00000000" w:rsidDel="00000000" w:rsidP="00000000" w:rsidRDefault="00000000" w:rsidRPr="00000000" w14:paraId="0000000C">
      <w:pPr>
        <w:shd w:fill="ffffff" w:val="clear"/>
        <w:spacing w:after="100" w:before="100" w:line="360" w:lineRule="auto"/>
        <w:jc w:val="both"/>
        <w:rPr>
          <w:rFonts w:ascii="Times New Roman" w:cs="Times New Roman" w:eastAsia="Times New Roman" w:hAnsi="Times New Roman"/>
          <w:color w:val="1d2129"/>
          <w:sz w:val="24"/>
          <w:szCs w:val="24"/>
        </w:rPr>
      </w:pPr>
      <w:r w:rsidDel="00000000" w:rsidR="00000000" w:rsidRPr="00000000">
        <w:rPr>
          <w:rFonts w:ascii="Times New Roman" w:cs="Times New Roman" w:eastAsia="Times New Roman" w:hAnsi="Times New Roman"/>
          <w:color w:val="1d2129"/>
          <w:sz w:val="24"/>
          <w:szCs w:val="24"/>
          <w:rtl w:val="0"/>
        </w:rPr>
        <w:t xml:space="preserve">10.Importanța insuflării copilului/elevului a dorinței de a urma o facultate sau studii cât mai înalte</w:t>
      </w:r>
    </w:p>
    <w:p w:rsidR="00000000" w:rsidDel="00000000" w:rsidP="00000000" w:rsidRDefault="00000000" w:rsidRPr="00000000" w14:paraId="0000000D">
      <w:pPr>
        <w:shd w:fill="ffffff" w:val="clear"/>
        <w:spacing w:after="100" w:before="100" w:line="360" w:lineRule="auto"/>
        <w:jc w:val="both"/>
        <w:rPr>
          <w:rFonts w:ascii="Times New Roman" w:cs="Times New Roman" w:eastAsia="Times New Roman" w:hAnsi="Times New Roman"/>
          <w:color w:val="1d2129"/>
          <w:sz w:val="24"/>
          <w:szCs w:val="24"/>
        </w:rPr>
      </w:pPr>
      <w:r w:rsidDel="00000000" w:rsidR="00000000" w:rsidRPr="00000000">
        <w:rPr>
          <w:rFonts w:ascii="Times New Roman" w:cs="Times New Roman" w:eastAsia="Times New Roman" w:hAnsi="Times New Roman"/>
          <w:color w:val="1d2129"/>
          <w:sz w:val="24"/>
          <w:szCs w:val="24"/>
          <w:rtl w:val="0"/>
        </w:rPr>
        <w:t xml:space="preserve">11.analiza și identificarea unor modalități de schimbare a procedurilor de operare în cadrul școlilor pentru a se reuși îmbunătățirea rezultatelor copiilor săraci fără cheltuieli suplimentare</w:t>
      </w:r>
    </w:p>
    <w:p w:rsidR="00000000" w:rsidDel="00000000" w:rsidP="00000000" w:rsidRDefault="00000000" w:rsidRPr="00000000" w14:paraId="0000000E">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1d2129"/>
          <w:sz w:val="24"/>
          <w:szCs w:val="24"/>
          <w:rtl w:val="0"/>
        </w:rPr>
        <w:t xml:space="preserve">Articolul este bine structurat pornind de la analiza unor situații, se finalizează cu identificarea unor modalități de schimbare a procedurilor standard de operare în cadrul școlilor pentru a se reuși îmbunătățirea rezultatelor copiilor săraci fără cheltuieli suplimentare</w:t>
      </w:r>
      <w:r w:rsidDel="00000000" w:rsidR="00000000" w:rsidRPr="00000000">
        <w:rPr>
          <w:rtl w:val="0"/>
        </w:rPr>
      </w:r>
    </w:p>
    <w:p w:rsidR="00000000" w:rsidDel="00000000" w:rsidP="00000000" w:rsidRDefault="00000000" w:rsidRPr="00000000" w14:paraId="0000000F">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Autorul articolului își susține teza dezvoltând diverse idei principale conectate, oferind exemple relevante, verificabile statistic. Spre exemplu, acesta argumentează ideea conform căreia șansele la educație ale copiilor depind, printre alți factori, și de bunăstarea materială a familiei din care provin folosind un studiu realizat de către Evaluarea Națională a Progresului Educațional 2007 în SUA. Conform acestuia, „16% dintre elevii de clasa a patra eligibili pentru prânz gratuit au un nivel expert de citire, în comparație cu un procent de 44 în cazul elevilor de clasa a patra ai căror membri ai familiei au venitul deasupra limitei de eligibilitate pentru prânz gratuit”.</w:t>
      </w:r>
    </w:p>
    <w:p w:rsidR="00000000" w:rsidDel="00000000" w:rsidP="00000000" w:rsidRDefault="00000000" w:rsidRPr="00000000" w14:paraId="00000010">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Autorul are o atitudine autoproclamată de „optimism temperat”, respingând parțial rezultatele studiilor conform cărora niciuna dintre încercările de îmbunătățire a condițiilor de studiu pentru elevii din medii defavorizate nu funcționează. Totuși, chiar și în soluțiile pe care le propune, acesta insistă asupra ideii că s-ar putea ca acestea, în continuare, să nu fie rodnice. Faptul că autorul promovează, mai mult sau mai puțin fățiș, idei extreme specifice teoriilor ambientaliste și ereditare, judecând capacitățile elevilor în funcție de statutul socio-economic sau rasă, poate fi considerat ușor discriminatoriu și deci un punct slab al articolului.</w:t>
      </w:r>
    </w:p>
    <w:p w:rsidR="00000000" w:rsidDel="00000000" w:rsidP="00000000" w:rsidRDefault="00000000" w:rsidRPr="00000000" w14:paraId="00000011">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Totuși, oferirea de alternative viabile denotă bunele intenții ale autorului. Câteva dintre cele care merită menționate sunt cele legate de potențialele investiții ce pot contribui la creșterea probabilității ca grupul-țintă de elevi să obțină performanțe crescute. Acceptarea ideii că resursele financiare alocate din bugetul de stat reprezintă un factor de importanță primară în educație nu este exagerat, ci realist, iar sugestiile utilizării acestuia în mod cât mai eficient imprimă credibilitate intențiilor autorului. De asemenea se remarcă ideea de „</w:t>
      </w:r>
      <w:r w:rsidDel="00000000" w:rsidR="00000000" w:rsidRPr="00000000">
        <w:rPr>
          <w:rFonts w:ascii="Times New Roman" w:cs="Times New Roman" w:eastAsia="Times New Roman" w:hAnsi="Times New Roman"/>
          <w:color w:val="1d2129"/>
          <w:sz w:val="24"/>
          <w:szCs w:val="24"/>
          <w:rtl w:val="0"/>
        </w:rPr>
        <w:t xml:space="preserve">investiții crescute în educația timpurie”</w:t>
      </w:r>
      <w:r w:rsidDel="00000000" w:rsidR="00000000" w:rsidRPr="00000000">
        <w:rPr>
          <w:rFonts w:ascii="Times New Roman" w:cs="Times New Roman" w:eastAsia="Times New Roman" w:hAnsi="Times New Roman"/>
          <w:sz w:val="24"/>
          <w:szCs w:val="24"/>
          <w:rtl w:val="0"/>
        </w:rPr>
        <w:t xml:space="preserve">, deoarece individul este mai maleabil în copilărie și o fundație solidă realizată la această vârstă crește șansele de viitor. Lucrul cu grupuri mai mici de copii poate de asemenea să aibă un impact benefic, deoarece procesul educațional este mai axat pe nevoile individuale și se poate construi un plan corespunzător înclinațiilor fiecăruia, acordându-se mai mult timp fiecărei persoane în funcție de necesități în comparație cu tratarea clasei ca un întreg. Recompensarea cadrelor didactice pentru rezultatele avute cu elevi având cerințe educaționale speciale este de asemenea importantă, deoarece motivează profesorii să caute și să implementeze metode inovative de predare-învățare adaptate situației. O altă idee remarcabilă este cea conform căreia punerea la dispoziția părinților a mai multor opțiuni va stimula competitivitatea între școli ceea ce implică un mai mare efort din partea profesorilor pentru a menține un etalon ori a îl ridica, deci și rezultate mai bune din partea elevilor. „Susținătorii sugerează că prin crearea unei piețe de desfacere în care părinții pot selecta școli, un sistem bazat pe alegeri ar putea genera o competiție între școli, care ar îmbunătăți calitatea școlilor prin piața de desfacere.”</w:t>
      </w:r>
    </w:p>
    <w:p w:rsidR="00000000" w:rsidDel="00000000" w:rsidP="00000000" w:rsidRDefault="00000000" w:rsidRPr="00000000" w14:paraId="00000012">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Având în vedere cele prezentate anterior, putem concluziona faptul că articolul este unul bine documentat, reușind printr-o analiză atentă a nevoilor educației în medii defavorizate să identifice diverse probleme și să propună soluții relevante, având în vedere totodată imperfecțiunea soluțiilor cât și problema aplicabilității lor.</w:t>
      </w:r>
    </w:p>
    <w:p w:rsidR="00000000" w:rsidDel="00000000" w:rsidP="00000000" w:rsidRDefault="00000000" w:rsidRPr="00000000" w14:paraId="00000013">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t xml:space="preserve">Studenți: Tudorescu Alexandra Natalia ( specializarea informatică - engleză grupa 917)</w:t>
    </w:r>
  </w:p>
  <w:p w:rsidR="00000000" w:rsidDel="00000000" w:rsidP="00000000" w:rsidRDefault="00000000" w:rsidRPr="00000000" w14:paraId="00000015">
    <w:pPr>
      <w:rPr/>
    </w:pPr>
    <w:r w:rsidDel="00000000" w:rsidR="00000000" w:rsidRPr="00000000">
      <w:rPr>
        <w:rtl w:val="0"/>
      </w:rPr>
      <w:tab/>
      <w:t xml:space="preserve">    Olaru Laura-Elena (specializarea informatică - română grupa 215)</w:t>
    </w:r>
  </w:p>
  <w:p w:rsidR="00000000" w:rsidDel="00000000" w:rsidP="00000000" w:rsidRDefault="00000000" w:rsidRPr="00000000" w14:paraId="00000016">
    <w:pPr>
      <w:rPr/>
    </w:pPr>
    <w:r w:rsidDel="00000000" w:rsidR="00000000" w:rsidRPr="00000000">
      <w:rPr>
        <w:rtl w:val="0"/>
      </w:rPr>
      <w:tab/>
      <w:t xml:space="preserve">    Comănac Dragoș-Mihail (specializarea informatică - engleză grupa 912)</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