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2BAD6" w14:textId="77777777" w:rsidR="00D94203" w:rsidRDefault="00811CA9">
      <w:pPr>
        <w:spacing w:line="360" w:lineRule="auto"/>
        <w:rPr>
          <w:rFonts w:ascii="KaiTi_GB2312" w:eastAsia="KaiTi_GB2312" w:hAnsi="宋体" w:hint="eastAsia"/>
          <w:b/>
          <w:bCs/>
          <w:sz w:val="24"/>
        </w:rPr>
      </w:pPr>
      <w:r>
        <w:rPr>
          <w:rFonts w:ascii="KaiTi_GB2312" w:eastAsia="KaiTi_GB2312" w:hAnsi="宋体" w:hint="eastAsia"/>
          <w:b/>
          <w:bCs/>
          <w:sz w:val="24"/>
        </w:rPr>
        <w:t>实验科目：</w:t>
      </w:r>
      <w:r>
        <w:rPr>
          <w:rFonts w:ascii="宋体" w:hAnsi="宋体" w:hint="eastAsia"/>
          <w:b/>
          <w:bCs/>
          <w:sz w:val="24"/>
          <w:u w:val="single"/>
        </w:rPr>
        <w:t xml:space="preserve"> </w:t>
      </w:r>
      <w:r>
        <w:rPr>
          <w:rFonts w:ascii="宋体" w:hAnsi="宋体" w:hint="eastAsia"/>
          <w:b/>
          <w:bCs/>
          <w:sz w:val="24"/>
          <w:u w:val="single"/>
        </w:rPr>
        <w:t>传媒数据管理与分析</w:t>
      </w:r>
      <w:r>
        <w:rPr>
          <w:rFonts w:ascii="宋体" w:hAnsi="宋体" w:hint="eastAsia"/>
          <w:b/>
          <w:bCs/>
          <w:sz w:val="24"/>
          <w:u w:val="single"/>
        </w:rPr>
        <w:t xml:space="preserve">  </w:t>
      </w:r>
      <w:r>
        <w:rPr>
          <w:rFonts w:ascii="宋体" w:hAnsi="宋体" w:hint="eastAsia"/>
          <w:b/>
          <w:bCs/>
          <w:sz w:val="24"/>
          <w:u w:val="single"/>
        </w:rPr>
        <w:t xml:space="preserve">  </w:t>
      </w:r>
      <w:r>
        <w:rPr>
          <w:rFonts w:ascii="KaiTi_GB2312" w:eastAsia="KaiTi_GB2312" w:hAnsi="宋体" w:hint="eastAsia"/>
          <w:b/>
          <w:bCs/>
          <w:sz w:val="24"/>
        </w:rPr>
        <w:t>实验名称：</w:t>
      </w:r>
      <w:r>
        <w:rPr>
          <w:rFonts w:ascii="宋体" w:hAnsi="宋体" w:hint="eastAsia"/>
          <w:b/>
          <w:bCs/>
          <w:sz w:val="24"/>
          <w:u w:val="single"/>
        </w:rPr>
        <w:t>Vue</w:t>
      </w:r>
      <w:r>
        <w:rPr>
          <w:rFonts w:ascii="宋体" w:hAnsi="宋体" w:hint="eastAsia"/>
          <w:b/>
          <w:bCs/>
          <w:sz w:val="24"/>
          <w:u w:val="single"/>
        </w:rPr>
        <w:t>前端设计（实验</w:t>
      </w:r>
      <w:r>
        <w:rPr>
          <w:rFonts w:ascii="宋体" w:hAnsi="宋体" w:hint="eastAsia"/>
          <w:b/>
          <w:bCs/>
          <w:sz w:val="24"/>
          <w:u w:val="single"/>
        </w:rPr>
        <w:t>五</w:t>
      </w:r>
      <w:r>
        <w:rPr>
          <w:rFonts w:ascii="宋体" w:hAnsi="宋体" w:hint="eastAsia"/>
          <w:b/>
          <w:bCs/>
          <w:sz w:val="24"/>
          <w:u w:val="single"/>
        </w:rPr>
        <w:t>）</w:t>
      </w:r>
      <w:r>
        <w:rPr>
          <w:rFonts w:ascii="宋体" w:hAnsi="宋体" w:hint="eastAsia"/>
          <w:b/>
          <w:bCs/>
          <w:sz w:val="24"/>
          <w:u w:val="single"/>
        </w:rPr>
        <w:t xml:space="preserve">              </w:t>
      </w:r>
    </w:p>
    <w:p w14:paraId="0B801F36" w14:textId="77777777" w:rsidR="00D94203" w:rsidRDefault="00811CA9">
      <w:pPr>
        <w:spacing w:line="360" w:lineRule="auto"/>
        <w:rPr>
          <w:rFonts w:ascii="KaiTi_GB2312" w:eastAsia="KaiTi_GB2312" w:hAnsi="宋体" w:hint="eastAsia"/>
          <w:b/>
          <w:bCs/>
          <w:sz w:val="24"/>
        </w:rPr>
      </w:pPr>
      <w:r>
        <w:rPr>
          <w:rFonts w:ascii="KaiTi_GB2312" w:eastAsia="KaiTi_GB2312" w:hAnsi="宋体" w:hint="eastAsia"/>
          <w:b/>
          <w:bCs/>
          <w:sz w:val="24"/>
        </w:rPr>
        <w:t>学</w:t>
      </w:r>
      <w:r>
        <w:rPr>
          <w:rFonts w:ascii="KaiTi_GB2312" w:eastAsia="KaiTi_GB2312" w:hAnsi="宋体" w:hint="eastAsia"/>
          <w:b/>
          <w:bCs/>
          <w:sz w:val="24"/>
        </w:rPr>
        <w:t xml:space="preserve">    </w:t>
      </w:r>
      <w:r>
        <w:rPr>
          <w:rFonts w:ascii="KaiTi_GB2312" w:eastAsia="KaiTi_GB2312" w:hAnsi="宋体" w:hint="eastAsia"/>
          <w:b/>
          <w:bCs/>
          <w:sz w:val="24"/>
        </w:rPr>
        <w:t>号：</w:t>
      </w:r>
      <w:r>
        <w:rPr>
          <w:rFonts w:ascii="宋体" w:hAnsi="宋体" w:hint="eastAsia"/>
          <w:b/>
          <w:bCs/>
          <w:sz w:val="24"/>
          <w:u w:val="single"/>
        </w:rPr>
        <w:t xml:space="preserve">                       </w:t>
      </w:r>
      <w:r>
        <w:rPr>
          <w:rFonts w:ascii="KaiTi_GB2312" w:eastAsia="KaiTi_GB2312" w:hAnsi="宋体" w:hint="eastAsia"/>
          <w:b/>
          <w:bCs/>
          <w:sz w:val="24"/>
        </w:rPr>
        <w:t>姓</w:t>
      </w:r>
      <w:r>
        <w:rPr>
          <w:rFonts w:ascii="KaiTi_GB2312" w:eastAsia="KaiTi_GB2312" w:hAnsi="宋体" w:hint="eastAsia"/>
          <w:b/>
          <w:bCs/>
          <w:sz w:val="24"/>
        </w:rPr>
        <w:t xml:space="preserve">    </w:t>
      </w:r>
      <w:r>
        <w:rPr>
          <w:rFonts w:ascii="KaiTi_GB2312" w:eastAsia="KaiTi_GB2312" w:hAnsi="宋体" w:hint="eastAsia"/>
          <w:b/>
          <w:bCs/>
          <w:sz w:val="24"/>
        </w:rPr>
        <w:t xml:space="preserve"> </w:t>
      </w:r>
      <w:r>
        <w:rPr>
          <w:rFonts w:ascii="KaiTi_GB2312" w:eastAsia="KaiTi_GB2312" w:hAnsi="宋体" w:hint="eastAsia"/>
          <w:b/>
          <w:bCs/>
          <w:sz w:val="24"/>
        </w:rPr>
        <w:t>名：</w:t>
      </w:r>
      <w:r>
        <w:rPr>
          <w:rFonts w:ascii="宋体" w:hAnsi="宋体" w:hint="eastAsia"/>
          <w:b/>
          <w:bCs/>
          <w:sz w:val="24"/>
          <w:u w:val="single"/>
        </w:rPr>
        <w:t xml:space="preserve">                             </w:t>
      </w:r>
    </w:p>
    <w:p w14:paraId="12F678A6" w14:textId="77777777" w:rsidR="00D94203" w:rsidRDefault="00811CA9">
      <w:pPr>
        <w:spacing w:line="360" w:lineRule="auto"/>
        <w:rPr>
          <w:rFonts w:ascii="KaiTi_GB2312" w:eastAsia="KaiTi_GB2312" w:hAnsi="宋体" w:hint="eastAsia"/>
          <w:b/>
          <w:bCs/>
          <w:sz w:val="44"/>
          <w:szCs w:val="44"/>
        </w:rPr>
      </w:pPr>
      <w:r>
        <w:rPr>
          <w:rFonts w:ascii="KaiTi_GB2312" w:eastAsia="KaiTi_GB2312" w:hAnsi="宋体" w:hint="eastAsia"/>
          <w:b/>
          <w:bCs/>
          <w:sz w:val="24"/>
        </w:rPr>
        <w:t>班</w:t>
      </w:r>
      <w:r>
        <w:rPr>
          <w:rFonts w:ascii="KaiTi_GB2312" w:eastAsia="KaiTi_GB2312" w:hAnsi="宋体" w:hint="eastAsia"/>
          <w:b/>
          <w:bCs/>
          <w:sz w:val="24"/>
        </w:rPr>
        <w:t xml:space="preserve">    </w:t>
      </w:r>
      <w:r>
        <w:rPr>
          <w:rFonts w:ascii="KaiTi_GB2312" w:eastAsia="KaiTi_GB2312" w:hAnsi="宋体" w:hint="eastAsia"/>
          <w:b/>
          <w:bCs/>
          <w:sz w:val="24"/>
        </w:rPr>
        <w:t>级：</w:t>
      </w:r>
      <w:r>
        <w:rPr>
          <w:rFonts w:ascii="宋体" w:hAnsi="宋体" w:hint="eastAsia"/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  <w:u w:val="single"/>
        </w:rPr>
        <w:t>23</w:t>
      </w:r>
      <w:r>
        <w:rPr>
          <w:rFonts w:hint="eastAsia"/>
          <w:b/>
          <w:bCs/>
          <w:sz w:val="24"/>
          <w:u w:val="single"/>
        </w:rPr>
        <w:t>计科（专转本）</w:t>
      </w:r>
      <w:r>
        <w:rPr>
          <w:b/>
          <w:bCs/>
          <w:color w:val="0000FF"/>
          <w:sz w:val="24"/>
          <w:highlight w:val="yellow"/>
          <w:u w:val="single"/>
        </w:rPr>
        <w:t>X</w:t>
      </w:r>
      <w:r>
        <w:rPr>
          <w:rFonts w:hint="eastAsia"/>
          <w:b/>
          <w:bCs/>
          <w:sz w:val="24"/>
          <w:u w:val="single"/>
        </w:rPr>
        <w:t>班</w:t>
      </w:r>
      <w:r>
        <w:rPr>
          <w:rFonts w:ascii="宋体" w:hAnsi="宋体" w:hint="eastAsia"/>
          <w:b/>
          <w:bCs/>
          <w:sz w:val="24"/>
          <w:u w:val="single"/>
        </w:rPr>
        <w:t xml:space="preserve">  </w:t>
      </w:r>
      <w:r>
        <w:rPr>
          <w:rFonts w:ascii="KaiTi_GB2312" w:eastAsia="KaiTi_GB2312" w:hAnsi="宋体" w:hint="eastAsia"/>
          <w:b/>
          <w:bCs/>
          <w:sz w:val="24"/>
        </w:rPr>
        <w:t>实验日期：</w:t>
      </w:r>
      <w:r>
        <w:rPr>
          <w:rFonts w:ascii="宋体" w:hAnsi="宋体" w:hint="eastAsia"/>
          <w:b/>
          <w:bCs/>
          <w:sz w:val="24"/>
          <w:u w:val="single"/>
        </w:rPr>
        <w:t xml:space="preserve">  </w:t>
      </w:r>
      <w:r>
        <w:rPr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  <w:u w:val="single"/>
        </w:rPr>
        <w:t xml:space="preserve">    </w:t>
      </w:r>
      <w:r>
        <w:rPr>
          <w:b/>
          <w:bCs/>
          <w:sz w:val="24"/>
          <w:u w:val="single"/>
        </w:rPr>
        <w:t>202</w:t>
      </w:r>
      <w:r>
        <w:rPr>
          <w:b/>
          <w:bCs/>
          <w:sz w:val="24"/>
          <w:u w:val="single"/>
        </w:rPr>
        <w:t>6</w:t>
      </w:r>
      <w:r>
        <w:rPr>
          <w:b/>
          <w:bCs/>
          <w:sz w:val="24"/>
          <w:u w:val="single"/>
        </w:rPr>
        <w:t>.10.</w:t>
      </w:r>
      <w:r>
        <w:rPr>
          <w:b/>
          <w:bCs/>
          <w:sz w:val="24"/>
          <w:u w:val="single"/>
        </w:rPr>
        <w:t>23</w:t>
      </w:r>
      <w:r>
        <w:rPr>
          <w:b/>
          <w:bCs/>
          <w:sz w:val="24"/>
          <w:u w:val="single"/>
        </w:rPr>
        <w:t xml:space="preserve"> </w:t>
      </w:r>
      <w:r>
        <w:rPr>
          <w:rFonts w:ascii="宋体" w:hAnsi="宋体" w:hint="eastAsia"/>
          <w:b/>
          <w:bCs/>
          <w:sz w:val="24"/>
          <w:u w:val="single"/>
        </w:rPr>
        <w:t xml:space="preserve">                       </w:t>
      </w:r>
    </w:p>
    <w:tbl>
      <w:tblPr>
        <w:tblW w:w="8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15"/>
      </w:tblGrid>
      <w:tr w:rsidR="00D94203" w14:paraId="14397F40" w14:textId="77777777">
        <w:trPr>
          <w:trHeight w:val="11988"/>
        </w:trPr>
        <w:tc>
          <w:tcPr>
            <w:tcW w:w="8715" w:type="dx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80" w:line="240" w:lineRule="auto" w:before="120"/>
            </w:pPr>
            <w:r>
              <w:rPr>
                <w:rFonts w:ascii="宋体" w:hAnsi="宋体" w:eastAsia="宋体"/>
                <w:b/>
                <w:sz w:val="24"/>
              </w:rPr>
              <w:t>一、实验目的</w:t>
            </w:r>
          </w:p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框架掌握：</w:t>
            </w:r>
            <w:r>
              <w:rPr>
                <w:rFonts w:ascii="宋体" w:hAnsi="宋体" w:eastAsia="宋体"/>
                <w:b w:val="0"/>
                <w:sz w:val="20"/>
              </w:rPr>
              <w:t>熟悉 Vue3 组合式 API、组件、数据绑定、指令、生命周期与 Vue Router 路由。</w:t>
            </w:r>
          </w:p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可视化开发：</w:t>
            </w:r>
            <w:r>
              <w:rPr>
                <w:rFonts w:ascii="宋体" w:hAnsi="宋体" w:eastAsia="宋体"/>
                <w:b w:val="0"/>
                <w:sz w:val="20"/>
              </w:rPr>
              <w:t>完成后台首页 Dashboard 与业务页面开发，集成 ECharts 完成数据可视化。</w:t>
            </w:r>
          </w:p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接口对接：</w:t>
            </w:r>
            <w:r>
              <w:rPr>
                <w:rFonts w:ascii="宋体" w:hAnsi="宋体" w:eastAsia="宋体"/>
                <w:b w:val="0"/>
                <w:sz w:val="20"/>
              </w:rPr>
              <w:t>使用 Axios 调用 Spring Boot 后端接口，完成数据获取、解析与动态渲染。</w:t>
            </w:r>
          </w:p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联调排障：</w:t>
            </w:r>
            <w:r>
              <w:rPr>
                <w:rFonts w:ascii="宋体" w:hAnsi="宋体" w:eastAsia="宋体"/>
                <w:b w:val="0"/>
                <w:sz w:val="20"/>
              </w:rPr>
              <w:t>独立排查跨域、状态丢失、异步时序等常见问题，提升前后端联调能力。</w:t>
            </w:r>
          </w:p>
          <w:p>
            <w:pPr>
              <w:spacing w:after="80" w:line="240" w:lineRule="auto" w:before="120"/>
            </w:pPr>
            <w:r>
              <w:rPr>
                <w:rFonts w:ascii="宋体" w:hAnsi="宋体" w:eastAsia="宋体"/>
                <w:b/>
                <w:sz w:val="24"/>
              </w:rPr>
              <w:t>二、实验环境</w:t>
            </w:r>
          </w:p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工具：</w:t>
            </w:r>
            <w:r>
              <w:rPr>
                <w:rFonts w:ascii="宋体" w:hAnsi="宋体" w:eastAsia="宋体"/>
                <w:b w:val="0"/>
                <w:sz w:val="20"/>
              </w:rPr>
              <w:t>Windows 11、VS Code / Cursor、Node.js 22.23.2、npm 10.9.8、浏览器调试工具。</w:t>
            </w:r>
          </w:p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前端栈：</w:t>
            </w:r>
            <w:r>
              <w:rPr>
                <w:rFonts w:ascii="宋体" w:hAnsi="宋体" w:eastAsia="宋体"/>
                <w:b w:val="0"/>
                <w:sz w:val="20"/>
              </w:rPr>
              <w:t>Vue 3.5（Vite 构建）、Vue Router 4、Pinia、Element Plus、ECharts 5、Axios。</w:t>
            </w:r>
          </w:p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20"/>
              </w:rPr>
            </w:r>
            <w:r>
              <w:rPr>
                <w:rFonts w:ascii="宋体" w:hAnsi="宋体" w:eastAsia="宋体"/>
                <w:b/>
                <w:color w:val="1F4E79"/>
                <w:sz w:val="20"/>
              </w:rPr>
              <w:t xml:space="preserve">• </w:t>
            </w:r>
            <w:r>
              <w:rPr>
                <w:rFonts w:ascii="宋体" w:hAnsi="宋体" w:eastAsia="宋体"/>
                <w:b/>
                <w:sz w:val="20"/>
              </w:rPr>
              <w:t>后端：</w:t>
            </w:r>
            <w:r>
              <w:rPr>
                <w:rFonts w:ascii="宋体" w:hAnsi="宋体" w:eastAsia="宋体"/>
                <w:b w:val="0"/>
                <w:sz w:val="20"/>
              </w:rPr>
              <w:t>Spring Boot 管理域（8081）与 Python 推理域（8010），前后端分离联调。</w:t>
            </w:r>
          </w:p>
          <w:p>
            <w:pPr>
              <w:spacing w:after="80" w:line="240" w:lineRule="auto" w:before="120"/>
            </w:pPr>
            <w:r>
              <w:rPr>
                <w:rFonts w:ascii="宋体" w:hAnsi="宋体" w:eastAsia="宋体"/>
                <w:b/>
                <w:sz w:val="24"/>
              </w:rPr>
              <w:t>三、实验内容及要求</w:t>
            </w:r>
          </w:p>
          <w:p>
            <w:pPr>
              <w:spacing w:after="8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在既有工业安全智能监测系统 Vue3 工作台（六页面）基础上，对接实验四的 Spring Boot 管理域：新增用户管理页与数据集/模型管理页（Axios 封装、JWT 拦截器、表格/表单/对话框、训练状态自动轮询），Dashboard 集成 ECharts 告警环形图、严重度占比条与近 7 天趋势折线图，模型实验页含八组指标对比柱状图；侧边导航实现路由跳转与选中高亮联动；页面具备加载动画、异常提示与空数据兜底。</w:t>
            </w:r>
          </w:p>
          <w:p>
            <w:pPr>
              <w:spacing w:after="80" w:line="240" w:lineRule="auto" w:before="120"/>
            </w:pPr>
            <w:r>
              <w:rPr>
                <w:rFonts w:ascii="宋体" w:hAnsi="宋体" w:eastAsia="宋体"/>
                <w:b/>
                <w:sz w:val="24"/>
              </w:rPr>
              <w:t>四、主要操作步骤（源码、运行结果截图）</w:t>
            </w:r>
          </w:p>
          <w:tbl>
            <w:tblPr>
              <w:tblStyle w:val="ab"/>
              <w:tblW w:type="auto" w:w="0"/>
              <w:tblLook w:firstColumn="1" w:firstRow="1" w:lastColumn="0" w:lastRow="0" w:noHBand="0" w:noVBand="1" w:val="04A0"/>
            </w:tblPr>
            <w:tblGrid>
              <w:gridCol w:w="4357"/>
              <w:gridCol w:w="4357"/>
            </w:tblGrid>
            <w:tr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shd w:fill="1F4E7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6"/>
                    </w:rPr>
                    <w:t>步骤</w:t>
                  </w:r>
                </w:p>
              </w:tc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shd w:fill="1F4E7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color w:val="FFFFFF"/>
                      <w:sz w:val="16"/>
                    </w:rPr>
                    <w:t>实际操作与输出</w:t>
                  </w:r>
                </w:p>
              </w:tc>
            </w:tr>
            <w:tr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1 Axios 封装</w:t>
                  </w:r>
                </w:p>
              </w:tc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创建 axios 实例：请求拦截器统一携带 Bearer 令牌，响应拦截器统一解包 {code,message,data} 并以 ElNotification 弹出错误，401 自动清理本地凭据。</w:t>
                  </w:r>
                </w:p>
              </w:tc>
            </w:tr>
            <w:tr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2 用户管理页</w:t>
                  </w:r>
                </w:p>
              </w:tc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shd w:fill="F3F6F9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Element Plus 表格 + 对话框表单完成增删改查，角色标签/启停开关，联调 Spring Boot 用户接口。</w:t>
                  </w:r>
                </w:p>
              </w:tc>
            </w:tr>
            <w:tr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3 数据集与模型页</w:t>
                  </w:r>
                </w:p>
              </w:tc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文件上传（multipart）、数据集列表（SHA256 展示）、训练任务发起与 5 秒自动轮询、真实指标卡渲染。</w:t>
                  </w:r>
                </w:p>
              </w:tc>
            </w:tr>
            <w:tr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4 管理域登录门</w:t>
                  </w:r>
                </w:p>
              </w:tc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shd w:fill="F3F6F9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AdminGate 组件：管理域 JWT 与监测域令牌相互独立，未登录展示登录表单，登录成功 emit 事件触发数据加载，解决异步时序问题。</w:t>
                  </w:r>
                </w:p>
              </w:tc>
            </w:tr>
            <w:tr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5 Dashboard 与导航</w:t>
                  </w:r>
                </w:p>
              </w:tc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总览页 ECharts 环形图/趋势线、模型实验页对比柱状图；侧边导航 router-link 与当前路由联动高亮，刷新后状态保持。</w:t>
                  </w:r>
                </w:p>
              </w:tc>
            </w:tr>
            <w:tr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shd w:fill="F3F6F9"/>
                </w:tcPr>
                <w:p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6 构建与部署</w:t>
                  </w:r>
                </w:p>
              </w:tc>
              <w:tc>
                <w:tcPr>
                  <w:tcW w:type="dxa" w:w="4357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  <w:shd w:fill="F3F6F9"/>
                </w:tcPr>
                <w:p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6"/>
                    </w:rPr>
                    <w:t>Vite 构建产物由 FastAPI 静态伺服，SPA history 路由回退；前后端三服务联调（8010/8081/MySQL）。</w:t>
                  </w:r>
                </w:p>
              </w:tc>
            </w:tr>
          </w:tbl>
          <w:p/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核心代码（一）Axios 封装：请求拦截器统一携带令牌，响应拦截器统一解包并弹出错误提示：</w:t>
            </w:r>
          </w:p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39636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_axios_interceptor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96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图1 adminApi.js — Axios 实例与拦截器核心代码</w:t>
            </w:r>
          </w:p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核心代码（二）管理域登录门：管理域 JWT 与监测域令牌相互独立，登录成功后通过 emit 事件触发页面数据加载，消除异步时序问题：</w:t>
            </w:r>
          </w:p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31819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_adminga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181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图2 AdminGate 管理域登录门核心代码</w:t>
            </w:r>
          </w:p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33718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-admin-user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371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图3 用户管理页联调运行截图（Spring Boot 数据真实渲染）</w:t>
            </w:r>
          </w:p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核心代码（三）训练任务轮询：发起训练后每 5 秒自动轮询状态，页面销毁时清理定时器：</w:t>
            </w:r>
          </w:p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337643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_train_pol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3764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图4 训练任务发起与自动轮询核心代码</w:t>
            </w:r>
          </w:p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33718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-admin-model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371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图5 数据集与模型管理页（训练任务与真实指标）</w:t>
            </w:r>
          </w:p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核心代码（四）Dashboard 可视化：ECharts 告警环形图与真实接口数据绑定：</w:t>
            </w:r>
          </w:p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396364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_echarts_donu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963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图6 ECharts 告警环形图核心代码</w:t>
            </w:r>
          </w:p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33718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-dashboar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371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图7 监控总览 Dashboard（环形图/严重度条/趋势折线图）</w:t>
            </w:r>
          </w:p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33718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-experiment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371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图8 模型实验页（八组真实实验指标对比柱状图）</w:t>
            </w:r>
          </w:p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337185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-alert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371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图9 告警中心页（实时 WebSocket 接收 + 事件闭环操作）</w:t>
            </w:r>
          </w:p>
        </w:tc>
      </w:tr>
    </w:tbl>
    <w:p w14:paraId="27FDF819" w14:textId="77777777" w:rsidR="00D94203" w:rsidRDefault="00D94203">
      <w:pPr>
        <w:pStyle w:val="a3"/>
        <w:tabs>
          <w:tab w:val="clear" w:pos="360"/>
        </w:tabs>
        <w:spacing w:line="360" w:lineRule="auto"/>
        <w:rPr>
          <w:rFonts w:ascii="宋体" w:hAnsi="宋体" w:hint="eastAsia"/>
          <w:sz w:val="28"/>
        </w:rPr>
        <w:sectPr w:rsidR="00D94203">
          <w:headerReference w:type="default" r:id="rId7"/>
          <w:pgSz w:w="11906" w:h="16838"/>
          <w:pgMar w:top="1440" w:right="1588" w:bottom="1440" w:left="1588" w:header="851" w:footer="992" w:gutter="0"/>
          <w:cols w:space="720"/>
          <w:docGrid w:type="lines" w:linePitch="312"/>
        </w:sectPr>
      </w:pPr>
    </w:p>
    <w:tbl>
      <w:tblPr>
        <w:tblW w:w="8715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Look w:val="04A0" w:firstRow="1" w:lastRow="0" w:firstColumn="1" w:lastColumn="0" w:noHBand="0" w:noVBand="1"/>
      </w:tblPr>
      <w:tblGrid>
        <w:gridCol w:w="8715"/>
      </w:tblGrid>
      <w:tr w:rsidR="00D94203" w14:paraId="48346CCF" w14:textId="77777777">
        <w:trPr>
          <w:trHeight w:val="10755"/>
        </w:trPr>
        <w:tc>
          <w:tcPr>
            <w:tcW w:w="8715" w:type="dx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80" w:line="240" w:lineRule="auto" w:before="120"/>
            </w:pPr>
            <w:r>
              <w:rPr>
                <w:rFonts w:ascii="宋体" w:hAnsi="宋体" w:eastAsia="宋体"/>
                <w:b/>
                <w:sz w:val="24"/>
              </w:rPr>
              <w:t>五、实验思考（问题、分析与解决办法）</w:t>
            </w:r>
          </w:p>
          <w:p>
            <w:pPr>
              <w:spacing w:after="4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 xml:space="preserve">问题1：跨域请求失败（Network Error）。 </w:t>
            </w:r>
            <w:r>
              <w:rPr>
                <w:rFonts w:ascii="宋体" w:hAnsi="宋体" w:eastAsia="宋体"/>
                <w:b w:val="0"/>
                <w:sz w:val="18"/>
              </w:rPr>
              <w:t>前端 8010 源请求 8081 管理域被 CORS 拦截。在后端 CorsFilter 白名单补齐 8010 源并置于最高过滤优先级后解决；理解了预检请求与凭证模式下 allowed-origins 不能为通配符的约束。</w:t>
            </w:r>
          </w:p>
          <w:p>
            <w:pPr>
              <w:spacing w:after="4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 xml:space="preserve">问题2：页面数据不随登录状态刷新。 </w:t>
            </w:r>
            <w:r>
              <w:rPr>
                <w:rFonts w:ascii="宋体" w:hAnsi="宋体" w:eastAsia="宋体"/>
                <w:b w:val="0"/>
                <w:sz w:val="18"/>
              </w:rPr>
              <w:t>管理域登录成功后列表仍为空：页面 onMounted 执行时登录尚未完成。解决方法：AdminGate 登录成功后 emit logged-in 事件，页面监听该事件重新拉取数据，消除了组件挂载与认证完成的时序竞态。</w:t>
            </w:r>
          </w:p>
          <w:p>
            <w:pPr>
              <w:spacing w:after="4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 xml:space="preserve">问题3：两套令牌的状态丢失。 </w:t>
            </w:r>
            <w:r>
              <w:rPr>
                <w:rFonts w:ascii="宋体" w:hAnsi="宋体" w:eastAsia="宋体"/>
                <w:b w:val="0"/>
                <w:sz w:val="18"/>
              </w:rPr>
              <w:t>监测域（8010）与管理域（8081）JWT 相互独立，混用导致 401。以 localStorage 键名区分（safety_token / admin_token），Axios 拦截器 401 时只清理对应域凭据并提示重新登录。</w:t>
            </w:r>
          </w:p>
          <w:p>
            <w:pPr>
              <w:spacing w:after="4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 xml:space="preserve">问题4：训练任务轮询的内存泄漏风险。 </w:t>
            </w:r>
            <w:r>
              <w:rPr>
                <w:rFonts w:ascii="宋体" w:hAnsi="宋体" w:eastAsia="宋体"/>
                <w:b w:val="0"/>
                <w:sz w:val="18"/>
              </w:rPr>
              <w:t>训练状态每 5 秒轮询，页面切换后定时器仍在执行。在 onBeforeUnmount 中 clearTimeout 清理，并以任务状态判断是否继续轮询，避免无效请求。</w:t>
            </w:r>
          </w:p>
          <w:p>
            <w:pPr>
              <w:spacing w:after="4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 xml:space="preserve">问题5：可视化图表与业务数据脱节。 </w:t>
            </w:r>
            <w:r>
              <w:rPr>
                <w:rFonts w:ascii="宋体" w:hAnsi="宋体" w:eastAsia="宋体"/>
                <w:b w:val="0"/>
                <w:sz w:val="18"/>
              </w:rPr>
              <w:t>Dashboard 图表数据全部来自 /api/v1/metrics/summary 与 events 真实接口而非写死数据，保证答辩演示时图表与告警中心数据一致；空数据时展示兜底空态组件。</w:t>
            </w:r>
          </w:p>
        </w:tc>
      </w:tr>
      <w:tr w:rsidR="00D94203" w14:paraId="5220FE44" w14:textId="77777777">
        <w:trPr>
          <w:trHeight w:val="2297"/>
        </w:trPr>
        <w:tc>
          <w:tcPr>
            <w:tcW w:w="8715" w:type="dx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 w:line="269" w:lineRule="auto"/>
            </w:pPr>
            <w:r>
              <w:rPr>
                <w:rFonts w:ascii="宋体" w:hAnsi="宋体" w:eastAsia="宋体"/>
                <w:b w:val="0"/>
                <w:sz w:val="18"/>
              </w:rPr>
              <w:t>实验小结：本实验在既有 Vue3 工作台上完成了后台管理域的前端对接：以 Axios 统一封装 Spring Boot 接口调用，实现用户管理与数据集/模型管理两个页面的完整交互（含文件上传、异步训练轮询与真实指标渲染），Dashboard 的 ECharts 可视化与侧边导航高亮经浏览器联调验收。过程中解决了跨域、双域令牌状态与异步时序三类典型前后端联调问题，全部页面数据均来自真实接口。</w:t>
            </w:r>
          </w:p>
          <w:p>
            <w:pPr>
              <w:spacing w:after="60" w:line="264" w:lineRule="auto"/>
            </w:pPr>
            <w:r>
              <w:rPr>
                <w:rFonts w:ascii="宋体" w:hAnsi="宋体" w:eastAsia="宋体"/>
                <w:b w:val="0"/>
                <w:color w:val="666666"/>
                <w:sz w:val="17"/>
              </w:rPr>
              <w:t>证据文件：results/experiment5/ui-admin-users.png 联调截图、frontend/ 前端源码、backend-java/ 管理域源码。</w:t>
            </w:r>
          </w:p>
        </w:tc>
      </w:tr>
    </w:tbl>
    <w:p w14:paraId="39632F8B" w14:textId="77777777" w:rsidR="00D94203" w:rsidRDefault="00D94203"/>
    <w:sectPr w:rsidR="00D94203">
      <w:pgSz w:w="11906" w:h="16838"/>
      <w:pgMar w:top="1440" w:right="1588" w:bottom="1440" w:left="1588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22AF5" w14:textId="77777777" w:rsidR="00811CA9" w:rsidRDefault="00811CA9">
      <w:r>
        <w:separator/>
      </w:r>
    </w:p>
  </w:endnote>
  <w:endnote w:type="continuationSeparator" w:id="0">
    <w:p w14:paraId="10673D82" w14:textId="77777777" w:rsidR="00811CA9" w:rsidRDefault="00811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altName w:val="STXingka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NSimSun">
    <w:altName w:val="新宋体"/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EBB5C" w14:textId="77777777" w:rsidR="00811CA9" w:rsidRDefault="00811CA9">
      <w:r>
        <w:separator/>
      </w:r>
    </w:p>
  </w:footnote>
  <w:footnote w:type="continuationSeparator" w:id="0">
    <w:p w14:paraId="46E4E161" w14:textId="77777777" w:rsidR="00811CA9" w:rsidRDefault="00811C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08A69" w14:textId="77777777" w:rsidR="00D94203" w:rsidRDefault="00811CA9">
    <w:pPr>
      <w:spacing w:line="360" w:lineRule="auto"/>
      <w:jc w:val="center"/>
      <w:rPr>
        <w:rFonts w:ascii="华文新魏" w:eastAsia="华文新魏" w:hAnsi="宋体" w:hint="eastAsia"/>
        <w:b/>
        <w:bCs/>
        <w:sz w:val="36"/>
        <w:szCs w:val="36"/>
      </w:rPr>
    </w:pPr>
    <w:r>
      <w:rPr>
        <w:rFonts w:ascii="华文行楷" w:eastAsia="华文行楷" w:hAnsi="NSimSun" w:hint="eastAsia"/>
        <w:b/>
        <w:sz w:val="36"/>
        <w:szCs w:val="36"/>
      </w:rPr>
      <w:t>南京传媒学院</w:t>
    </w:r>
    <w:r>
      <w:rPr>
        <w:rFonts w:ascii="华文行楷" w:eastAsia="华文行楷" w:hAnsi="NSimSun" w:hint="eastAsia"/>
        <w:b/>
        <w:sz w:val="36"/>
        <w:szCs w:val="36"/>
      </w:rPr>
      <w:t>智能媒体工程</w:t>
    </w:r>
    <w:r>
      <w:rPr>
        <w:rFonts w:ascii="华文行楷" w:eastAsia="华文行楷" w:hAnsi="NSimSun" w:hint="eastAsia"/>
        <w:b/>
        <w:sz w:val="36"/>
        <w:szCs w:val="36"/>
      </w:rPr>
      <w:t>学院</w:t>
    </w:r>
    <w:r>
      <w:rPr>
        <w:rFonts w:ascii="华文行楷" w:eastAsia="华文行楷" w:hAnsi="NSimSun" w:hint="eastAsia"/>
        <w:b/>
        <w:sz w:val="36"/>
        <w:szCs w:val="36"/>
      </w:rPr>
      <w:t xml:space="preserve"> </w:t>
    </w:r>
    <w:r>
      <w:rPr>
        <w:rFonts w:ascii="华文行楷" w:eastAsia="华文行楷" w:hAnsi="宋体" w:hint="eastAsia"/>
        <w:b/>
        <w:bCs/>
        <w:sz w:val="44"/>
        <w:szCs w:val="44"/>
      </w:rPr>
      <w:t>实验报告册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02662C9"/>
    <w:multiLevelType w:val="singleLevel"/>
    <w:tmpl w:val="D02662C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547793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94203"/>
    <w:rsid w:val="00811CA9"/>
    <w:rsid w:val="009A2975"/>
    <w:rsid w:val="00D94203"/>
    <w:rsid w:val="046817A6"/>
    <w:rsid w:val="47977A0C"/>
    <w:rsid w:val="49202CF0"/>
    <w:rsid w:val="5D68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1302757B-F81C-4DF5-A063-C7A7AA1DE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tabs>
        <w:tab w:val="left" w:pos="360"/>
      </w:tabs>
    </w:pPr>
    <w:rPr>
      <w:b/>
      <w:bCs/>
    </w:r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ab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link w:val="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a8">
    <w:name w:val="页脚 字符"/>
    <w:link w:val="a7"/>
    <w:uiPriority w:val="99"/>
    <w:semiHidden/>
    <w:qFormat/>
    <w:rPr>
      <w:sz w:val="18"/>
      <w:szCs w:val="18"/>
    </w:rPr>
  </w:style>
  <w:style w:type="character" w:customStyle="1" w:styleId="a4">
    <w:name w:val="正文文本 字符"/>
    <w:link w:val="a3"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aa">
    <w:name w:val="页眉 字符"/>
    <w:link w:val="a9"/>
    <w:uiPriority w:val="99"/>
    <w:semiHidden/>
    <w:qFormat/>
    <w:rPr>
      <w:sz w:val="18"/>
      <w:szCs w:val="18"/>
    </w:rPr>
  </w:style>
  <w:style w:type="character" w:customStyle="1" w:styleId="a6">
    <w:name w:val="批注框文本 字符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814</Words>
  <Characters>947</Characters>
  <Application>Microsoft Office Word</Application>
  <DocSecurity>4</DocSecurity>
  <Lines>56</Lines>
  <Paragraphs>22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wuying</dc:creator>
  <cp:lastModifiedBy>文杰 朱</cp:lastModifiedBy>
  <cp:revision>2</cp:revision>
  <dcterms:created xsi:type="dcterms:W3CDTF">2026-10-21T15:19:00Z</dcterms:created>
  <dcterms:modified xsi:type="dcterms:W3CDTF">2026-10-21T15:19:00Z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eyJoZGlkIjoiNzg2OTUzYmRlNjk0NjEzZDc0MWM0YjM2ZjYzYmUxN2IiLCJ1c2VySWQiOiIzNTcwMTYxNjcifQ==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EDA677DDFEEF4825B23113941EFE6273_12</vt:lpwstr>
  </property>
</Properties>
</file>