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center"/>
      </w:pPr>
      <w:r>
        <w:rPr>
          <w:rFonts w:ascii="Microsoft YaHei" w:hAnsi="Microsoft YaHei" w:eastAsia="Microsoft YaHei"/>
          <w:color w:val="5B6573"/>
          <w:sz w:val="22"/>
        </w:rPr>
        <w:t>课程项目阶段交付</w:t>
      </w:r>
    </w:p>
    <w:p>
      <w:pPr>
        <w:pStyle w:val="Title"/>
        <w:jc w:val="center"/>
      </w:pPr>
      <w:r>
        <w:t>基于 YOLOv8 与 ByteTrack 的工业作业人员安全防护与危险区域智能监测系统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color w:val="5B6573"/>
          <w:sz w:val="24"/>
        </w:rPr>
        <w:t>工业安全检测课程项目</w:t>
      </w:r>
    </w:p>
    <w:p>
      <w:pPr>
        <w:jc w:val="center"/>
      </w:pPr>
      <w:r>
        <w:rPr>
          <w:rFonts w:ascii="Microsoft YaHei" w:hAnsi="Microsoft YaHei" w:eastAsia="Microsoft YaHei"/>
          <w:b/>
          <w:color w:val="17365D"/>
          <w:sz w:val="34"/>
        </w:rPr>
        <w:t>环境搭建与运行说明</w:t>
      </w:r>
    </w:p>
    <w:p>
      <w:pPr>
        <w:spacing w:before="1100" w:line="432" w:lineRule="auto"/>
        <w:jc w:val="center"/>
      </w:pPr>
      <w:r>
        <w:rPr>
          <w:rFonts w:ascii="Microsoft YaHei" w:hAnsi="Microsoft YaHei" w:eastAsia="Microsoft YaHei"/>
          <w:color w:val="1F2937"/>
          <w:sz w:val="22"/>
        </w:rPr>
        <w:t>学号  ____________________</w:t>
        <w:br/>
        <w:t>姓名  ____________________</w:t>
        <w:br/>
        <w:t>提交日期  2026-09-20</w:t>
      </w:r>
    </w:p>
    <w:p>
      <w:r>
        <w:br w:type="page"/>
      </w:r>
    </w:p>
    <w:p>
      <w:pPr>
        <w:pStyle w:val="Heading1"/>
      </w:pPr>
      <w:r>
        <w:t>1 文档用途与当前状态</w:t>
      </w:r>
    </w:p>
    <w:p>
      <w:pPr>
        <w:spacing w:after="140"/>
      </w:pPr>
      <w:r>
        <w:rPr>
          <w:rFonts w:ascii="Microsoft YaHei" w:hAnsi="Microsoft YaHei" w:eastAsia="Microsoft YaHei"/>
          <w:b/>
          <w:sz w:val="22"/>
        </w:rPr>
        <w:t>本说明用于在 Windows 11 本机复现当前项目。</w:t>
      </w:r>
      <w:r>
        <w:rPr>
          <w:rFonts w:ascii="Microsoft YaHei" w:hAnsi="Microsoft YaHei" w:eastAsia="Microsoft YaHei"/>
          <w:sz w:val="21"/>
        </w:rPr>
        <w:t>内容覆盖运行环境、数据与模型、启动方法、接口校验、自动化测试和故障排查。当前默认模型为 E7 12 epoch 定向精调权重，服务、工作台、数据集和回归报告均已落盘。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交付项</w:t>
            </w:r>
          </w:p>
        </w:tc>
        <w:tc>
          <w:tcPr>
            <w:tcW w:type="dxa" w:w="33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41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可核验证据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后端与工作台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FastAPI 与六页单页工作台可运行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app 目录与 49 项自动化测试</w:t>
            </w:r>
          </w:p>
        </w:tc>
      </w:tr>
      <w:tr>
        <w:trPr>
          <w:cantSplit/>
        </w:trPr>
        <w:tc>
          <w:tcPr>
            <w:tcW w:type="dxa" w:w="194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当前模型</w:t>
            </w:r>
          </w:p>
        </w:tc>
        <w:tc>
          <w:tcPr>
            <w:tcW w:type="dxa" w:w="338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E7 hard-case 12 epoch，best epoch 7</w:t>
            </w:r>
          </w:p>
        </w:tc>
        <w:tc>
          <w:tcPr>
            <w:tcW w:type="dxa" w:w="417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models/expanded-ppe-yolov8s-hardcase12.pt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合并集 11,623 张图，28,853 个框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expanded_ppe_kaggle 数据清单与校验报告</w:t>
            </w:r>
          </w:p>
        </w:tc>
      </w:tr>
      <w:tr>
        <w:trPr>
          <w:cantSplit/>
        </w:trPr>
        <w:tc>
          <w:tcPr>
            <w:tcW w:type="dxa" w:w="194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本机算力</w:t>
            </w:r>
          </w:p>
        </w:tc>
        <w:tc>
          <w:tcPr>
            <w:tcW w:type="dxa" w:w="338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RTX 4070 Laptop GPU，CUDA 12.6 可用</w:t>
            </w:r>
          </w:p>
        </w:tc>
        <w:tc>
          <w:tcPr>
            <w:tcW w:type="dxa" w:w="417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scripts/check_environment.py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定向回归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 张图片与 2 段视频门禁通过</w:t>
            </w:r>
          </w:p>
        </w:tc>
        <w:tc>
          <w:tcPr>
            <w:tcW w:type="dxa" w:w="41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results 下 hardcase12 回归报告</w:t>
            </w:r>
          </w:p>
        </w:tc>
      </w:tr>
    </w:tbl>
    <w:p>
      <w:pPr>
        <w:spacing w:after="20"/>
      </w:pPr>
    </w:p>
    <w:p>
      <w:pPr>
        <w:pStyle w:val="Heading1"/>
      </w:pPr>
      <w:r>
        <w:t>2 系统组成</w:t>
      </w:r>
    </w:p>
    <w:p>
      <w:r>
        <w:t>浏览器工作台调用 FastAPI 接口。图片任务同步返回结果，视频任务进入单 Worker 队列；推理链路依次完成 YOLOv8 检测、人员轨迹确认、PPE 关联和危险区域规则判断，再把任务、事件、证据图和结果媒体写入数据库与本地目录。</w:t>
      </w:r>
    </w:p>
    <w:p>
      <w:pPr>
        <w:spacing w:before="40" w:after="140" w:line="240" w:lineRule="auto"/>
        <w:ind w:left="259" w:right="173"/>
        <w:shd w:fill="F4F6F8"/>
      </w:pPr>
      <w:r>
        <w:rPr>
          <w:rFonts w:ascii="Consolas" w:hAnsi="Consolas" w:eastAsia="Consolas"/>
          <w:color w:val="1F2937"/>
          <w:sz w:val="17"/>
        </w:rPr>
        <w:t>Browser UI</w:t>
        <w:br/>
        <w:t xml:space="preserve">  -&gt; FastAPI API / JWT / WebSocket</w:t>
        <w:br/>
        <w:t xml:space="preserve">      -&gt; Image inference or video job queue</w:t>
        <w:br/>
        <w:t xml:space="preserve">          -&gt; YOLOv8s -&gt; track confirmation -&gt; PPE association -&gt; zone rules</w:t>
        <w:br/>
        <w:t xml:space="preserve">              -&gt; SQLite or PostgreSQL + results/ + uploads/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28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</w:t>
            </w:r>
          </w:p>
        </w:tc>
        <w:tc>
          <w:tcPr>
            <w:tcW w:type="dxa" w:w="51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展示层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HTML CSS JavaScript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登录、总览、检测、任务、实验、告警、设备与区域</w:t>
            </w:r>
          </w:p>
        </w:tc>
      </w:tr>
      <w:tr>
        <w:trPr>
          <w:cantSplit/>
        </w:trPr>
        <w:tc>
          <w:tcPr>
            <w:tcW w:type="dxa" w:w="144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接口层</w:t>
            </w:r>
          </w:p>
        </w:tc>
        <w:tc>
          <w:tcPr>
            <w:tcW w:type="dxa" w:w="28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FastAPI JWT WebSocket</w:t>
            </w:r>
          </w:p>
        </w:tc>
        <w:tc>
          <w:tcPr>
            <w:tcW w:type="dxa" w:w="518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鉴权、上传、任务查询、事件处理、实时推送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推理层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Ultralytics YOLOv8s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检测 person helmet vest 并输出框与置信度</w:t>
            </w:r>
          </w:p>
        </w:tc>
      </w:tr>
      <w:tr>
        <w:trPr>
          <w:cantSplit/>
        </w:trPr>
        <w:tc>
          <w:tcPr>
            <w:tcW w:type="dxa" w:w="144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时序层</w:t>
            </w:r>
          </w:p>
        </w:tc>
        <w:tc>
          <w:tcPr>
            <w:tcW w:type="dxa" w:w="28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ByteTrack 思路与规则引擎</w:t>
            </w:r>
          </w:p>
        </w:tc>
        <w:tc>
          <w:tcPr>
            <w:tcW w:type="dxa" w:w="518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 次命中确认、PPE 关联、3 帧事件确认、10 秒冷却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数据层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SQLite 或 PostgreSQL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用户、摄像头、危险区、任务和安全事件</w:t>
            </w:r>
          </w:p>
        </w:tc>
      </w:tr>
      <w:tr>
        <w:trPr>
          <w:cantSplit/>
        </w:trPr>
        <w:tc>
          <w:tcPr>
            <w:tcW w:type="dxa" w:w="144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文件层</w:t>
            </w:r>
          </w:p>
        </w:tc>
        <w:tc>
          <w:tcPr>
            <w:tcW w:type="dxa" w:w="28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Docker volume 或本地目录</w:t>
            </w:r>
          </w:p>
        </w:tc>
        <w:tc>
          <w:tcPr>
            <w:tcW w:type="dxa" w:w="518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权重、上传文件、预览、证据截图和结果媒体</w:t>
            </w:r>
          </w:p>
        </w:tc>
      </w:tr>
    </w:tbl>
    <w:p>
      <w:pPr>
        <w:spacing w:after="20"/>
      </w:pPr>
    </w:p>
    <w:p>
      <w:pPr>
        <w:pStyle w:val="Heading1"/>
      </w:pPr>
      <w:r>
        <w:t>3 已验证运行环境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4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实测配置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操作系统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Windows 11</w:t>
            </w:r>
          </w:p>
        </w:tc>
      </w:tr>
      <w:tr>
        <w:trPr>
          <w:cantSplit/>
        </w:trPr>
        <w:tc>
          <w:tcPr>
            <w:tcW w:type="dxa" w:w="2088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Python</w:t>
            </w:r>
          </w:p>
        </w:tc>
        <w:tc>
          <w:tcPr>
            <w:tcW w:type="dxa" w:w="741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3.12.13，项目由 .python-version 固定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PyTorch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2.6.0+cu126，TorchVision 0.21.0+cu126</w:t>
            </w:r>
          </w:p>
        </w:tc>
      </w:tr>
      <w:tr>
        <w:trPr>
          <w:cantSplit/>
        </w:trPr>
        <w:tc>
          <w:tcPr>
            <w:tcW w:type="dxa" w:w="2088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GPU</w:t>
            </w:r>
          </w:p>
        </w:tc>
        <w:tc>
          <w:tcPr>
            <w:tcW w:type="dxa" w:w="741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NVIDIA GeForce RTX 4070 Laptop GPU，CUDA 12.6 可用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Web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FastAPI 0.141.1，Uvicorn 0.53.0，SQLAlchemy 2.0.53，Pydantic 2.13.5</w:t>
            </w:r>
          </w:p>
        </w:tc>
      </w:tr>
      <w:tr>
        <w:trPr>
          <w:cantSplit/>
        </w:trPr>
        <w:tc>
          <w:tcPr>
            <w:tcW w:type="dxa" w:w="2088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视觉</w:t>
            </w:r>
          </w:p>
        </w:tc>
        <w:tc>
          <w:tcPr>
            <w:tcW w:type="dxa" w:w="741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Ultralytics 8.4.152，OpenCV 5.0.0，Pillow 12.3.0，NumPy 2.5.3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开发环境默认 SQLite；Docker Compose 配置 PostgreSQL 16</w:t>
            </w:r>
          </w:p>
        </w:tc>
      </w:tr>
      <w:tr>
        <w:trPr>
          <w:cantSplit/>
        </w:trPr>
        <w:tc>
          <w:tcPr>
            <w:tcW w:type="dxa" w:w="2088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模型输入</w:t>
            </w:r>
          </w:p>
        </w:tc>
        <w:tc>
          <w:tcPr>
            <w:tcW w:type="dxa" w:w="741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640 px，confidence 0.25，设备留空时由 Ultralytics 自动选择 CUDA 或 CPU</w:t>
            </w:r>
          </w:p>
        </w:tc>
      </w:tr>
    </w:tbl>
    <w:p>
      <w:pPr>
        <w:spacing w:after="20"/>
      </w:pPr>
    </w:p>
    <w:p>
      <w:pPr>
        <w:pStyle w:val="Heading1"/>
      </w:pPr>
      <w:r>
        <w:t>4 目录与关键文件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75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app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FastAPI、数据库、检测器、跟踪器、规则引擎和静态工作台</w:t>
            </w:r>
          </w:p>
        </w:tc>
      </w:tr>
      <w:tr>
        <w:trPr>
          <w:cantSplit/>
        </w:trPr>
        <w:tc>
          <w:tcPr>
            <w:tcW w:type="dxa" w:w="194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data</w:t>
            </w:r>
          </w:p>
        </w:tc>
        <w:tc>
          <w:tcPr>
            <w:tcW w:type="dxa" w:w="756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公开数据、Kaggle 合并集、hard-case、演示素材和来源清单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models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当前模型、历史权重和 YOLOv8n YOLOv8s 对照权重</w:t>
            </w:r>
          </w:p>
        </w:tc>
      </w:tr>
      <w:tr>
        <w:trPr>
          <w:cantSplit/>
        </w:trPr>
        <w:tc>
          <w:tcPr>
            <w:tcW w:type="dxa" w:w="194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scripts</w:t>
            </w:r>
          </w:p>
        </w:tc>
        <w:tc>
          <w:tcPr>
            <w:tcW w:type="dxa" w:w="756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安装、下载、校验、训练、评估、回归与文档生成脚本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tests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检测、跟踪、规则、API、WebSocket、前端与回归工具测试</w:t>
            </w:r>
          </w:p>
        </w:tc>
      </w:tr>
      <w:tr>
        <w:trPr>
          <w:cantSplit/>
        </w:trPr>
        <w:tc>
          <w:tcPr>
            <w:tcW w:type="dxa" w:w="194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results</w:t>
            </w:r>
          </w:p>
        </w:tc>
        <w:tc>
          <w:tcPr>
            <w:tcW w:type="dxa" w:w="756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指标、校验报告、任务 JSON、预览、证据图和结果视频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uploads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用户上传的图片与视频，运行时保留</w:t>
            </w:r>
          </w:p>
        </w:tc>
      </w:tr>
      <w:tr>
        <w:trPr>
          <w:cantSplit/>
        </w:trPr>
        <w:tc>
          <w:tcPr>
            <w:tcW w:type="dxa" w:w="194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docs</w:t>
            </w:r>
          </w:p>
        </w:tc>
        <w:tc>
          <w:tcPr>
            <w:tcW w:type="dxa" w:w="756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系统设计、API、数据、实验、测试、用户手册与答辩材料</w:t>
            </w:r>
          </w:p>
        </w:tc>
      </w:tr>
    </w:tbl>
    <w:p>
      <w:pPr>
        <w:spacing w:after="20"/>
      </w:pPr>
    </w:p>
    <w:p>
      <w:pPr>
        <w:pStyle w:val="Heading1"/>
      </w:pPr>
      <w:r>
        <w:t>5 本机安装与启动</w:t>
      </w:r>
    </w:p>
    <w:p>
      <w:pPr>
        <w:pStyle w:val="Heading2"/>
      </w:pPr>
      <w:r>
        <w:t>5.1 一键安装</w:t>
      </w:r>
    </w:p>
    <w:p>
      <w:r>
        <w:t>在项目根目录打开 PowerShell。首次安装 CUDA 12.6 版本依赖时执行：</w:t>
      </w:r>
    </w:p>
    <w:p>
      <w:pPr>
        <w:spacing w:before="40" w:after="140" w:line="240" w:lineRule="auto"/>
        <w:ind w:left="259" w:right="173"/>
        <w:shd w:fill="F4F6F8"/>
      </w:pPr>
      <w:r>
        <w:rPr>
          <w:rFonts w:ascii="Consolas" w:hAnsi="Consolas" w:eastAsia="Consolas"/>
          <w:color w:val="1F2937"/>
          <w:sz w:val="17"/>
        </w:rPr>
        <w:t>.\scripts\setup.ps1 -Gpu</w:t>
      </w:r>
    </w:p>
    <w:p>
      <w:r>
        <w:t>依赖已安装时只做环境检查：</w:t>
      </w:r>
    </w:p>
    <w:p>
      <w:pPr>
        <w:spacing w:before="40" w:after="140" w:line="240" w:lineRule="auto"/>
        <w:ind w:left="259" w:right="173"/>
        <w:shd w:fill="F4F6F8"/>
      </w:pPr>
      <w:r>
        <w:rPr>
          <w:rFonts w:ascii="Consolas" w:hAnsi="Consolas" w:eastAsia="Consolas"/>
          <w:color w:val="1F2937"/>
          <w:sz w:val="17"/>
        </w:rPr>
        <w:t>.\scripts\setup.ps1 -SkipInstall</w:t>
      </w:r>
    </w:p>
    <w:p>
      <w:r>
        <w:rPr>
          <w:rFonts w:ascii="Microsoft YaHei" w:hAnsi="Microsoft YaHei" w:eastAsia="Microsoft YaHei"/>
          <w:b/>
          <w:sz w:val="21"/>
        </w:rPr>
        <w:t>安装路径说明：</w:t>
      </w:r>
      <w:r>
        <w:rPr>
          <w:rFonts w:ascii="Microsoft YaHei" w:hAnsi="Microsoft YaHei" w:eastAsia="Microsoft YaHei"/>
          <w:sz w:val="21"/>
        </w:rPr>
        <w:t>项目虚拟环境、uv 缓存和构建产物保存在项目所在的 D 盘目录；脚本不会主动把大体积依赖写入其他盘。</w:t>
      </w:r>
    </w:p>
    <w:p>
      <w:pPr>
        <w:pStyle w:val="Heading2"/>
      </w:pPr>
      <w:r>
        <w:t>5.2 环境变量</w:t>
      </w:r>
    </w:p>
    <w:p>
      <w:r>
        <w:t>首次运行会从 .env.example 生成 .env。当前关键配置如下：</w:t>
      </w:r>
    </w:p>
    <w:p>
      <w:pPr>
        <w:spacing w:before="40" w:after="140" w:line="240" w:lineRule="auto"/>
        <w:ind w:left="259" w:right="173"/>
        <w:shd w:fill="F4F6F8"/>
      </w:pPr>
      <w:r>
        <w:rPr>
          <w:rFonts w:ascii="Consolas" w:hAnsi="Consolas" w:eastAsia="Consolas"/>
          <w:color w:val="1F2937"/>
          <w:sz w:val="17"/>
        </w:rPr>
        <w:t>MODEL_PATH=models/expanded-ppe-yolov8s-hardcase12.pt</w:t>
        <w:br/>
        <w:t>MODEL_CONFIDENCE=0.25</w:t>
        <w:br/>
        <w:t>MODEL_IMAGE_SIZE=640</w:t>
        <w:br/>
        <w:t>MODEL_DEVICE=</w:t>
        <w:br/>
        <w:t>QUEUE_WORKERS=1</w:t>
        <w:br/>
        <w:t>MAX_UPLOAD_MB=100</w:t>
      </w:r>
    </w:p>
    <w:p>
      <w:r>
        <w:t>MODEL_DEVICE 留空表示自动选择设备；需要固定第一块 GPU 时可设置为 0。生产环境必须替换 SECRET_KEY 和默认账户密码，并限制 CORS_ORIGINS。</w:t>
      </w:r>
    </w:p>
    <w:p>
      <w:pPr>
        <w:pStyle w:val="Heading2"/>
      </w:pPr>
      <w:r>
        <w:t>5.3 启动服务</w:t>
      </w:r>
    </w:p>
    <w:p>
      <w:pPr>
        <w:spacing w:before="40" w:after="140" w:line="240" w:lineRule="auto"/>
        <w:ind w:left="259" w:right="173"/>
        <w:shd w:fill="F4F6F8"/>
      </w:pPr>
      <w:r>
        <w:rPr>
          <w:rFonts w:ascii="Consolas" w:hAnsi="Consolas" w:eastAsia="Consolas"/>
          <w:color w:val="1F2937"/>
          <w:sz w:val="17"/>
        </w:rPr>
        <w:t>.\.venv\Scripts\python.exe -m uvicorn app.main:app --host 127.0.0.1 --port 8010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工作台地址：http://127.0.0.1:8010/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接口文档：http://127.0.0.1:8010/docs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健康检查：http://127.0.0.1:8010/health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开发账号：admin，密码：admin123。</w:t>
      </w:r>
    </w:p>
    <w:p>
      <w:pPr>
        <w:pStyle w:val="Heading2"/>
      </w:pPr>
      <w:r>
        <w:t>5.4 Docker Compose</w:t>
      </w:r>
    </w:p>
    <w:p>
      <w:pPr>
        <w:spacing w:before="40" w:after="140" w:line="240" w:lineRule="auto"/>
        <w:ind w:left="259" w:right="173"/>
        <w:shd w:fill="F4F6F8"/>
      </w:pPr>
      <w:r>
        <w:rPr>
          <w:rFonts w:ascii="Consolas" w:hAnsi="Consolas" w:eastAsia="Consolas"/>
          <w:color w:val="1F2937"/>
          <w:sz w:val="17"/>
        </w:rPr>
        <w:t>docker compose up --build</w:t>
      </w:r>
    </w:p>
    <w:p>
      <w:r>
        <w:t>Compose 使用 PostgreSQL 16，并挂载 models、uploads、results 和 data。容器配置保持 CPU 安全模式；如需容器内 CUDA，必须改用 CUDA 基础镜像并配置 NVIDIA Container Toolkit。</w:t>
      </w:r>
    </w:p>
    <w:p>
      <w:pPr>
        <w:pStyle w:val="Heading1"/>
      </w:pPr>
      <w:r>
        <w:t>6 数据与模型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划分</w:t>
            </w:r>
          </w:p>
        </w:tc>
        <w:tc>
          <w:tcPr>
            <w:tcW w:type="dxa" w:w="22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图片</w:t>
            </w:r>
          </w:p>
        </w:tc>
        <w:tc>
          <w:tcPr>
            <w:tcW w:type="dxa" w:w="194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标注框</w:t>
            </w:r>
          </w:p>
        </w:tc>
        <w:tc>
          <w:tcPr>
            <w:tcW w:type="dxa" w:w="33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train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8,276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20,695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E6 基础训练集</w:t>
            </w:r>
          </w:p>
        </w:tc>
      </w:tr>
      <w:tr>
        <w:trPr>
          <w:cantSplit/>
        </w:trPr>
        <w:tc>
          <w:tcPr>
            <w:tcW w:type="dxa" w:w="194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val</w:t>
            </w:r>
          </w:p>
        </w:tc>
        <w:tc>
          <w:tcPr>
            <w:tcW w:type="dxa" w:w="223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2,184</w:t>
            </w:r>
          </w:p>
        </w:tc>
        <w:tc>
          <w:tcPr>
            <w:tcW w:type="dxa" w:w="194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5,111</w:t>
            </w:r>
          </w:p>
        </w:tc>
        <w:tc>
          <w:tcPr>
            <w:tcW w:type="dxa" w:w="338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训练选择与调参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test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1,163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3,047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独立指标，未挂载 hard-case</w:t>
            </w:r>
          </w:p>
        </w:tc>
      </w:tr>
      <w:tr>
        <w:trPr>
          <w:cantSplit/>
        </w:trPr>
        <w:tc>
          <w:tcPr>
            <w:tcW w:type="dxa" w:w="194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hard-case train</w:t>
            </w:r>
          </w:p>
        </w:tc>
        <w:tc>
          <w:tcPr>
            <w:tcW w:type="dxa" w:w="223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3 原图加 180 增强</w:t>
            </w:r>
          </w:p>
        </w:tc>
        <w:tc>
          <w:tcPr>
            <w:tcW w:type="dxa" w:w="194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1,037</w:t>
            </w:r>
          </w:p>
        </w:tc>
        <w:tc>
          <w:tcPr>
            <w:tcW w:type="dxa" w:w="338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只用于已知问题定向修复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E7 有效 train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8,459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21,732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E6 train 加 hard-case</w:t>
            </w:r>
          </w:p>
        </w:tc>
      </w:tr>
    </w:tbl>
    <w:p>
      <w:pPr>
        <w:spacing w:after="20"/>
      </w:pPr>
    </w:p>
    <w:p>
      <w:r>
        <w:t>基础合并集来自 Construction-PPE、SH17 和 Kaggle PPE Detection，按图片哈希去重并保留来源、许可证与校验记录。3 张 hard-case 原图及其 180 张相关增强不是 183 个独立场景，也不能替代计划中的独立自建测试集。</w:t>
      </w:r>
    </w:p>
    <w:p>
      <w:pPr>
        <w:pStyle w:val="Heading2"/>
      </w:pPr>
      <w:r>
        <w:t>6.1 E7 独立测试结果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5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E7</w:t>
            </w:r>
          </w:p>
        </w:tc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E6</w:t>
            </w:r>
          </w:p>
        </w:tc>
        <w:tc>
          <w:tcPr>
            <w:tcW w:type="dxa" w:w="33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变化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Precision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0.7977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0.8332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下降 0.0355</w:t>
            </w:r>
          </w:p>
        </w:tc>
      </w:tr>
      <w:tr>
        <w:trPr>
          <w:cantSplit/>
        </w:trPr>
        <w:tc>
          <w:tcPr>
            <w:tcW w:type="dxa" w:w="252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Recall</w:t>
            </w:r>
          </w:p>
        </w:tc>
        <w:tc>
          <w:tcPr>
            <w:tcW w:type="dxa" w:w="180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0.6620</w:t>
            </w:r>
          </w:p>
        </w:tc>
        <w:tc>
          <w:tcPr>
            <w:tcW w:type="dxa" w:w="180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0.6441</w:t>
            </w:r>
          </w:p>
        </w:tc>
        <w:tc>
          <w:tcPr>
            <w:tcW w:type="dxa" w:w="338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提升 0.0179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F1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0.7235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0.7266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下降 0.0031</w:t>
            </w:r>
          </w:p>
        </w:tc>
      </w:tr>
      <w:tr>
        <w:trPr>
          <w:cantSplit/>
        </w:trPr>
        <w:tc>
          <w:tcPr>
            <w:tcW w:type="dxa" w:w="252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mAP@0.5</w:t>
            </w:r>
          </w:p>
        </w:tc>
        <w:tc>
          <w:tcPr>
            <w:tcW w:type="dxa" w:w="180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0.7200</w:t>
            </w:r>
          </w:p>
        </w:tc>
        <w:tc>
          <w:tcPr>
            <w:tcW w:type="dxa" w:w="180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0.7151</w:t>
            </w:r>
          </w:p>
        </w:tc>
        <w:tc>
          <w:tcPr>
            <w:tcW w:type="dxa" w:w="338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提升 0.0049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mAP@0.5:0.95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0.4441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0.4538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下降 0.0097</w:t>
            </w:r>
          </w:p>
        </w:tc>
      </w:tr>
      <w:tr>
        <w:trPr>
          <w:cantSplit/>
        </w:trPr>
        <w:tc>
          <w:tcPr>
            <w:tcW w:type="dxa" w:w="252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helmet Recall</w:t>
            </w:r>
          </w:p>
        </w:tc>
        <w:tc>
          <w:tcPr>
            <w:tcW w:type="dxa" w:w="180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0.4548</w:t>
            </w:r>
          </w:p>
        </w:tc>
        <w:tc>
          <w:tcPr>
            <w:tcW w:type="dxa" w:w="180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0.4353</w:t>
            </w:r>
          </w:p>
        </w:tc>
        <w:tc>
          <w:tcPr>
            <w:tcW w:type="dxa" w:w="338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提升 0.0195</w:t>
            </w:r>
          </w:p>
        </w:tc>
      </w:tr>
    </w:tbl>
    <w:p>
      <w:pPr>
        <w:spacing w:after="20"/>
      </w:pPr>
    </w:p>
    <w:p>
      <w:r>
        <w:t>E7 提高了 Recall、mAP@0.5 和安全帽召回率，同时牺牲了部分 Precision 与高 IoU 指标。当前部署选择 E7 是为了减少漏检，但论文和答辩必须保留这一真实取舍。</w:t>
      </w:r>
    </w:p>
    <w:p>
      <w:pPr>
        <w:pStyle w:val="Heading2"/>
      </w:pPr>
      <w:r>
        <w:t>6.2 定向回归边界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三人施工图：3 person、3 helmet、2 vest，只生成 no_vest，机械区域不再误检为人员。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黑帽工厂图：2 person、2 helmet、2 vest，不生成 no_helmet。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施工通道图：1 person、1 helmet、1 vest，无违规事件。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两段视频分别确认 1 条与 3 条人员轨迹，短暂机械候选不会进入输出、统计或规则。</w:t>
      </w:r>
    </w:p>
    <w:p>
      <w:r>
        <w:t>这些结果只证明指定已知案例通过回归门禁，不属于独立泛化指标。</w:t>
      </w:r>
    </w:p>
    <w:p>
      <w:pPr>
        <w:pStyle w:val="Heading1"/>
      </w:pPr>
      <w:r>
        <w:t>7 运行验证</w:t>
      </w:r>
    </w:p>
    <w:p>
      <w:pPr>
        <w:pStyle w:val="Heading2"/>
      </w:pPr>
      <w:r>
        <w:t>7.1 自动化检查</w:t>
      </w:r>
    </w:p>
    <w:p>
      <w:pPr>
        <w:spacing w:before="40" w:after="140" w:line="240" w:lineRule="auto"/>
        <w:ind w:left="259" w:right="173"/>
        <w:shd w:fill="F4F6F8"/>
      </w:pPr>
      <w:r>
        <w:rPr>
          <w:rFonts w:ascii="Consolas" w:hAnsi="Consolas" w:eastAsia="Consolas"/>
          <w:color w:val="1F2937"/>
          <w:sz w:val="17"/>
        </w:rPr>
        <w:t>.\.venv\Scripts\python.exe -m pytest -q</w:t>
        <w:br/>
        <w:t>node --check app\static\app.js</w:t>
        <w:br/>
        <w:t>.\.venv\Scripts\python.exe -m compileall -q app scripts tests</w:t>
        <w:br/>
        <w:t>.\.venv\Scripts\python.exe scripts\check_environment.py</w:t>
      </w:r>
    </w:p>
    <w:p>
      <w:r>
        <w:t>2026-09-20 复核结果为 49 passed、2 条既有依赖弃用 warning；JavaScript 语法、Python compileall 和环境自检均通过。</w:t>
      </w:r>
    </w:p>
    <w:p>
      <w:pPr>
        <w:pStyle w:val="Heading2"/>
      </w:pPr>
      <w:r>
        <w:t>7.2 接口验收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31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46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健康检查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GET /health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backend 为 ultralytics，model_available 为 true，权重为 E7</w:t>
            </w:r>
          </w:p>
        </w:tc>
      </w:tr>
      <w:tr>
        <w:trPr>
          <w:cantSplit/>
        </w:trPr>
        <w:tc>
          <w:tcPr>
            <w:tcW w:type="dxa" w:w="165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登录</w:t>
            </w:r>
          </w:p>
        </w:tc>
        <w:tc>
          <w:tcPr>
            <w:tcW w:type="dxa" w:w="3168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POST /api/v1/auth/login</w:t>
            </w:r>
          </w:p>
        </w:tc>
        <w:tc>
          <w:tcPr>
            <w:tcW w:type="dxa" w:w="46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返回 JWT 与 admin 用户信息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图片检测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POST /api/v1/inference/images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返回检测、事件、JSON 路径和标注预览</w:t>
            </w:r>
          </w:p>
        </w:tc>
      </w:tr>
      <w:tr>
        <w:trPr>
          <w:cantSplit/>
        </w:trPr>
        <w:tc>
          <w:tcPr>
            <w:tcW w:type="dxa" w:w="165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视频任务</w:t>
            </w:r>
          </w:p>
        </w:tc>
        <w:tc>
          <w:tcPr>
            <w:tcW w:type="dxa" w:w="3168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POST /api/v1/inference/videos</w:t>
            </w:r>
          </w:p>
        </w:tc>
        <w:tc>
          <w:tcPr>
            <w:tcW w:type="dxa" w:w="46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返回 202，任务最终 completed 或明确失败原因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结果摘要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GET /api/v1/jobs/{id}/result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返回可视化媒体、分类统计和事件摘要</w:t>
            </w:r>
          </w:p>
        </w:tc>
      </w:tr>
      <w:tr>
        <w:trPr>
          <w:cantSplit/>
        </w:trPr>
        <w:tc>
          <w:tcPr>
            <w:tcW w:type="dxa" w:w="1656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实验页</w:t>
            </w:r>
          </w:p>
        </w:tc>
        <w:tc>
          <w:tcPr>
            <w:tcW w:type="dxa" w:w="3168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GET /api/v1/experiments/summary</w:t>
            </w:r>
          </w:p>
        </w:tc>
        <w:tc>
          <w:tcPr>
            <w:tcW w:type="dxa" w:w="46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包含 E7 当前模型与 E6 历史对照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实时事件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WS /api/v1/ws/events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JWT 鉴权、事件推送和 ping pong 正常</w:t>
            </w:r>
          </w:p>
        </w:tc>
      </w:tr>
    </w:tbl>
    <w:p>
      <w:pPr>
        <w:spacing w:after="20"/>
      </w:pPr>
    </w:p>
    <w:p>
      <w:r>
        <w:t>最终 API 实测中，hard_02.jpg 返回 2 person、2 helmet、2 vest 且无事件；239 帧视频任务完成并生成可播放 WebM，结果共 742 个确认检测且无事件。</w:t>
      </w:r>
    </w:p>
    <w:p>
      <w:pPr>
        <w:pStyle w:val="Heading1"/>
      </w:pPr>
      <w:r>
        <w:t>8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66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处理方法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8010 端口被占用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改用其他端口启动，并访问对应 URL。</w:t>
            </w:r>
          </w:p>
        </w:tc>
      </w:tr>
      <w:tr>
        <w:trPr>
          <w:cantSplit/>
        </w:trPr>
        <w:tc>
          <w:tcPr>
            <w:tcW w:type="dxa" w:w="28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健康检查显示模型不可用</w:t>
            </w:r>
          </w:p>
        </w:tc>
        <w:tc>
          <w:tcPr>
            <w:tcW w:type="dxa" w:w="662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核对 MODEL_PATH、权重文件和 Ultralytics 安装；不要用 fallback 指标冒充模型结果。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CUDA 不可用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运行 setup.ps1 -Gpu，确认 NVIDIA 驱动与 torch 2.6.0+cu126；也可临时使用 CPU。</w:t>
            </w:r>
          </w:p>
        </w:tc>
      </w:tr>
      <w:tr>
        <w:trPr>
          <w:cantSplit/>
        </w:trPr>
        <w:tc>
          <w:tcPr>
            <w:tcW w:type="dxa" w:w="28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视频任务失败</w:t>
            </w:r>
          </w:p>
        </w:tc>
        <w:tc>
          <w:tcPr>
            <w:tcW w:type="dxa" w:w="662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在任务中心查看 error_message，并确认 OpenCV、编码器与文件格式。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前端仍显示旧资源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强制刷新页面；静态文件 URL 已带版本参数。</w:t>
            </w:r>
          </w:p>
        </w:tc>
      </w:tr>
      <w:tr>
        <w:trPr>
          <w:cantSplit/>
        </w:trPr>
        <w:tc>
          <w:tcPr>
            <w:tcW w:type="dxa" w:w="2880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Docker 无法连接数据库</w:t>
            </w:r>
          </w:p>
        </w:tc>
        <w:tc>
          <w:tcPr>
            <w:tcW w:type="dxa" w:w="6624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先确认 Docker 引擎正常，再检查 5432 端口和 postgres_data volume。</w:t>
            </w:r>
          </w:p>
        </w:tc>
      </w:tr>
    </w:tbl>
    <w:p>
      <w:pPr>
        <w:spacing w:after="20"/>
      </w:pPr>
    </w:p>
    <w:p>
      <w:pPr>
        <w:pStyle w:val="Heading1"/>
      </w:pPr>
      <w:r>
        <w:t>9 当前实验与部署边界</w:t>
      </w:r>
    </w:p>
    <w:p>
      <w:pPr>
        <w:spacing w:after="140"/>
      </w:pPr>
      <w:r>
        <w:rPr>
          <w:rFonts w:ascii="Microsoft YaHei" w:hAnsi="Microsoft YaHei" w:eastAsia="Microsoft YaHei"/>
          <w:b/>
          <w:sz w:val="22"/>
        </w:rPr>
        <w:t>当前可提交的是完整可运行工程与已复现实验。</w:t>
      </w:r>
      <w:r>
        <w:rPr>
          <w:rFonts w:ascii="Microsoft YaHei" w:hAnsi="Microsoft YaHei" w:eastAsia="Microsoft YaHei"/>
          <w:sz w:val="21"/>
        </w:rPr>
        <w:t>以下项目尚未执行，材料中不得写成已完成：80 epoch 长周期训练、300 到 500 帧独立自建场景测试、720p 端到端不低于 15 FPS 的正式验收，以及无跟踪、仅跟踪、完整时间过滤三组定量消融。</w:t>
      </w:r>
    </w:p>
    <w:p>
      <w:r>
        <w:rPr>
          <w:rFonts w:ascii="Microsoft YaHei" w:hAnsi="Microsoft YaHei" w:eastAsia="Microsoft YaHei"/>
          <w:b/>
          <w:sz w:val="21"/>
        </w:rPr>
        <w:t>生产部署提醒：</w:t>
      </w:r>
      <w:r>
        <w:rPr>
          <w:rFonts w:ascii="Microsoft YaHei" w:hAnsi="Microsoft YaHei" w:eastAsia="Microsoft YaHei"/>
          <w:sz w:val="21"/>
        </w:rPr>
        <w:t>开发版 /results 静态媒体无需登录即可访问，课程本机演示可以使用；公网部署前应改为鉴权下载或短时签名 URL。</w:t>
      </w:r>
    </w:p>
    <w:p>
      <w:r>
        <w:rPr>
          <w:rFonts w:ascii="Microsoft YaHei" w:hAnsi="Microsoft YaHei" w:eastAsia="Microsoft YaHei"/>
          <w:b/>
          <w:sz w:val="21"/>
        </w:rPr>
        <w:t>结果追溯：</w:t>
      </w:r>
      <w:r>
        <w:rPr>
          <w:rFonts w:ascii="Microsoft YaHei" w:hAnsi="Microsoft YaHei" w:eastAsia="Microsoft YaHei"/>
          <w:sz w:val="21"/>
        </w:rPr>
        <w:t>模型指标见 results/expanded-ppe-yolov8s-hardcase12-test-metrics.json；图片与视频门禁分别见 results/hardcase-regression-hardcase12.json 和 results/video-regression-hardcase12.json。</w:t>
      </w:r>
    </w:p>
    <w:p>
      <w:pPr>
        <w:pStyle w:val="Heading2"/>
      </w:pPr>
      <w:r>
        <w:t>9.1 交付文件索引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3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文件或目录</w:t>
            </w:r>
          </w:p>
        </w:tc>
        <w:tc>
          <w:tcPr>
            <w:tcW w:type="dxa" w:w="51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README.md 与 docs/INDEX.md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项目入口、运行方式和全部文档导航</w:t>
            </w:r>
          </w:p>
        </w:tc>
      </w:tr>
      <w:tr>
        <w:trPr>
          <w:cantSplit/>
        </w:trPr>
        <w:tc>
          <w:tcPr>
            <w:tcW w:type="dxa" w:w="439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.env.example 与 docker-compose.yml</w:t>
            </w:r>
          </w:p>
        </w:tc>
        <w:tc>
          <w:tcPr>
            <w:tcW w:type="dxa" w:w="511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本机和容器配置，默认均指向 E7 权重</w:t>
            </w:r>
          </w:p>
        </w:tc>
      </w:tr>
      <w:tr>
        <w:trPr>
          <w:cantSplit/>
        </w:trPr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models/expanded-ppe-yolov8s-hardcase12.pt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当前演示部署权重</w:t>
            </w:r>
          </w:p>
        </w:tc>
      </w:tr>
      <w:tr>
        <w:trPr>
          <w:cantSplit/>
        </w:trPr>
        <w:tc>
          <w:tcPr>
            <w:tcW w:type="dxa" w:w="439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results/*hardcase12*.json</w:t>
            </w:r>
          </w:p>
        </w:tc>
        <w:tc>
          <w:tcPr>
            <w:tcW w:type="dxa" w:w="511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独立 test、图片门禁和视频门禁证据</w:t>
            </w:r>
          </w:p>
        </w:tc>
      </w:tr>
      <w:tr>
        <w:trPr>
          <w:cantSplit/>
        </w:trPr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docs/TEST_REPORT.md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自动化测试、API 实测、模型结果和剩余边界</w:t>
            </w:r>
          </w:p>
        </w:tc>
      </w:tr>
      <w:tr>
        <w:trPr>
          <w:cantSplit/>
        </w:trPr>
        <w:tc>
          <w:tcPr>
            <w:tcW w:type="dxa" w:w="439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两份阶段 DOCX</w:t>
            </w:r>
          </w:p>
        </w:tc>
        <w:tc>
          <w:tcPr>
            <w:tcW w:type="dxa" w:w="5112"/>
            <w:shd w:fill="EEF4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环境搭建运行说明与展示讲解演示手册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sz w:val="21"/>
        </w:rPr>
        <w:t>最小复现顺序：</w:t>
      </w:r>
      <w:r>
        <w:rPr>
          <w:rFonts w:ascii="Microsoft YaHei" w:hAnsi="Microsoft YaHei" w:eastAsia="Microsoft YaHei"/>
          <w:sz w:val="21"/>
        </w:rPr>
        <w:t>运行 setup.ps1 -SkipInstall，启动 8010 端口，访问 /health，登录工作台，再依次执行图片与视频样例。</w:t>
      </w:r>
    </w:p>
    <w:sectPr w:rsidR="00FC693F" w:rsidRPr="0006063C" w:rsidSect="00034616">
      <w:footerReference w:type="default" r:id="rId9"/>
      <w:pgSz w:w="12240" w:h="15840"/>
      <w:pgMar w:top="979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Microsoft YaHei" w:hAnsi="Microsoft YaHei" w:eastAsia="Microsoft YaHei"/>
        <w:color w:val="5B6573"/>
        <w:sz w:val="17"/>
      </w:rPr>
      <w:t xml:space="preserve">工业安全智能监测系统环境搭建与运行说明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10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工业安全智能监测系统环境搭建与运行说明</dc:title>
  <dc:subject>工业安全智能监测系统课程项目交付文档</dc:subject>
  <dc:creator>学生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