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94C2F" w14:textId="77777777" w:rsidR="00F577CE" w:rsidRDefault="00F577CE">
      <w:pPr>
        <w:spacing w:line="360" w:lineRule="auto"/>
        <w:rPr>
          <w:rFonts w:ascii="KaiTi_GB2312" w:eastAsia="KaiTi_GB2312" w:hAnsi="SimSun" w:hint="eastAsia"/>
          <w:b/>
          <w:bCs/>
          <w:sz w:val="24"/>
        </w:rPr>
      </w:pPr>
      <w:r>
        <w:rPr>
          <w:rFonts w:ascii="KaiTi_GB2312" w:eastAsia="KaiTi_GB2312" w:hAnsi="SimSun" w:hint="eastAsia"/>
          <w:b/>
          <w:bCs/>
          <w:sz w:val="24"/>
        </w:rPr>
        <w:t>实验科目：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rFonts w:ascii="SimSun" w:hAnsi="SimSun"/>
          <w:b/>
          <w:bCs/>
          <w:sz w:val="24"/>
          <w:u w:val="single"/>
        </w:rPr>
        <w:t>传媒数据管理与分析</w:t>
      </w:r>
      <w:r>
        <w:rPr>
          <w:rFonts w:ascii="SimSun" w:hAnsi="SimSun" w:hint="eastAsia"/>
          <w:b/>
          <w:bCs/>
          <w:sz w:val="24"/>
          <w:u w:val="single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实验名称：</w:t>
      </w:r>
      <w:r>
        <w:rPr>
          <w:rFonts w:ascii="SimSun" w:eastAsia="KaiTi_GB2312" w:hAnsi="SimSun" w:hint="eastAsia"/>
          <w:b/>
          <w:bCs/>
          <w:sz w:val="24"/>
          <w:u w:val="single"/>
        </w:rPr>
        <w:t>人工智能算法</w:t>
      </w:r>
      <w:r>
        <w:rPr>
          <w:rFonts w:ascii="SimSun" w:hAnsi="SimSun" w:hint="eastAsia"/>
          <w:b/>
          <w:bCs/>
          <w:sz w:val="24"/>
          <w:u w:val="single"/>
        </w:rPr>
        <w:t>（实验三）</w:t>
      </w:r>
      <w:r>
        <w:rPr>
          <w:rFonts w:ascii="SimSun" w:hAnsi="SimSun" w:hint="eastAsia"/>
          <w:b/>
          <w:bCs/>
          <w:sz w:val="24"/>
          <w:u w:val="single"/>
        </w:rPr>
        <w:t xml:space="preserve">              </w:t>
      </w:r>
    </w:p>
    <w:p w14:paraId="47BCA5C7" w14:textId="77777777" w:rsidR="00F577CE" w:rsidRDefault="00F577CE">
      <w:pPr>
        <w:spacing w:line="360" w:lineRule="auto"/>
        <w:rPr>
          <w:rFonts w:ascii="KaiTi_GB2312" w:eastAsia="KaiTi_GB2312" w:hAnsi="SimSun" w:hint="eastAsia"/>
          <w:b/>
          <w:bCs/>
          <w:sz w:val="24"/>
        </w:rPr>
      </w:pPr>
      <w:r>
        <w:rPr>
          <w:rFonts w:ascii="KaiTi_GB2312" w:eastAsia="KaiTi_GB2312" w:hAnsi="SimSun" w:hint="eastAsia"/>
          <w:b/>
          <w:bCs/>
          <w:sz w:val="24"/>
        </w:rPr>
        <w:t>学</w:t>
      </w:r>
      <w:r>
        <w:rPr>
          <w:rFonts w:ascii="KaiTi_GB2312" w:eastAsia="KaiTi_GB2312" w:hAnsi="SimSun" w:hint="eastAsia"/>
          <w:b/>
          <w:bCs/>
          <w:sz w:val="24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号：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 w:rsidR="0009526E">
        <w:rPr>
          <w:rFonts w:ascii="SimSun" w:hAnsi="SimSun" w:hint="eastAsia"/>
          <w:b/>
          <w:bCs/>
          <w:sz w:val="24"/>
          <w:u w:val="single"/>
        </w:rPr>
        <w:t>Z202508090311</w:t>
      </w:r>
      <w:r>
        <w:rPr>
          <w:rFonts w:ascii="SimSun" w:hAnsi="SimSun" w:hint="eastAsia"/>
          <w:b/>
          <w:bCs/>
          <w:sz w:val="24"/>
          <w:u w:val="single"/>
        </w:rPr>
        <w:t xml:space="preserve">       </w:t>
      </w:r>
      <w:r w:rsidR="0009526E"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rFonts w:ascii="KaiTi_GB2312" w:eastAsia="KaiTi_GB2312" w:hAnsi="SimSun" w:hint="eastAsia"/>
          <w:b/>
          <w:bCs/>
          <w:sz w:val="24"/>
        </w:rPr>
        <w:t>姓</w:t>
      </w:r>
      <w:r>
        <w:rPr>
          <w:rFonts w:ascii="KaiTi_GB2312" w:eastAsia="KaiTi_GB2312" w:hAnsi="SimSun" w:hint="eastAsia"/>
          <w:b/>
          <w:bCs/>
          <w:sz w:val="24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名：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 w:rsidR="0009526E">
        <w:rPr>
          <w:rFonts w:ascii="SimSun" w:hAnsi="SimSun" w:hint="eastAsia"/>
          <w:b/>
          <w:bCs/>
          <w:sz w:val="24"/>
          <w:u w:val="single"/>
        </w:rPr>
        <w:t>朱文杰</w:t>
      </w:r>
      <w:r>
        <w:rPr>
          <w:rFonts w:ascii="SimSun" w:hAnsi="SimSun" w:hint="eastAsia"/>
          <w:b/>
          <w:bCs/>
          <w:sz w:val="24"/>
          <w:u w:val="single"/>
        </w:rPr>
        <w:t xml:space="preserve">                             </w:t>
      </w:r>
    </w:p>
    <w:p w14:paraId="2B30A30E" w14:textId="77777777" w:rsidR="00F577CE" w:rsidRDefault="00F577CE">
      <w:pPr>
        <w:spacing w:line="360" w:lineRule="auto"/>
        <w:rPr>
          <w:rFonts w:ascii="KaiTi_GB2312" w:eastAsia="KaiTi_GB2312" w:hAnsi="SimSun"/>
          <w:b/>
          <w:bCs/>
          <w:sz w:val="44"/>
          <w:szCs w:val="44"/>
        </w:rPr>
      </w:pPr>
      <w:r>
        <w:rPr>
          <w:rFonts w:ascii="KaiTi_GB2312" w:eastAsia="KaiTi_GB2312" w:hAnsi="SimSun" w:hint="eastAsia"/>
          <w:b/>
          <w:bCs/>
          <w:sz w:val="24"/>
        </w:rPr>
        <w:t>班</w:t>
      </w:r>
      <w:r>
        <w:rPr>
          <w:rFonts w:ascii="KaiTi_GB2312" w:eastAsia="KaiTi_GB2312" w:hAnsi="SimSun" w:hint="eastAsia"/>
          <w:b/>
          <w:bCs/>
          <w:sz w:val="24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级：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>23</w:t>
      </w:r>
      <w:r>
        <w:rPr>
          <w:b/>
          <w:bCs/>
          <w:sz w:val="24"/>
          <w:u w:val="single"/>
        </w:rPr>
        <w:t>计科（专转本）</w:t>
      </w:r>
      <w:r w:rsidR="0009526E">
        <w:rPr>
          <w:rFonts w:hint="eastAsia"/>
          <w:b/>
          <w:bCs/>
          <w:color w:val="0000FF"/>
          <w:sz w:val="24"/>
          <w:u w:val="single"/>
        </w:rPr>
        <w:t>3</w:t>
      </w:r>
      <w:r>
        <w:rPr>
          <w:b/>
          <w:bCs/>
          <w:sz w:val="24"/>
          <w:u w:val="single"/>
        </w:rPr>
        <w:t>班</w:t>
      </w:r>
      <w:r>
        <w:rPr>
          <w:rFonts w:ascii="SimSun" w:hAnsi="SimSun" w:hint="eastAsia"/>
          <w:b/>
          <w:bCs/>
          <w:sz w:val="24"/>
          <w:u w:val="single"/>
        </w:rPr>
        <w:t xml:space="preserve">  </w:t>
      </w:r>
      <w:r>
        <w:rPr>
          <w:rFonts w:ascii="KaiTi_GB2312" w:eastAsia="KaiTi_GB2312" w:hAnsi="SimSun" w:hint="eastAsia"/>
          <w:b/>
          <w:bCs/>
          <w:sz w:val="24"/>
        </w:rPr>
        <w:t>实验日期：</w:t>
      </w:r>
      <w:r>
        <w:rPr>
          <w:rFonts w:ascii="SimSun" w:hAnsi="SimSun" w:hint="eastAsia"/>
          <w:b/>
          <w:bCs/>
          <w:sz w:val="24"/>
          <w:u w:val="single"/>
        </w:rPr>
        <w:t xml:space="preserve">       </w:t>
      </w:r>
      <w:r>
        <w:rPr>
          <w:rFonts w:hint="eastAsia"/>
          <w:b/>
          <w:bCs/>
          <w:sz w:val="24"/>
          <w:u w:val="single"/>
        </w:rPr>
        <w:t>2026.</w:t>
      </w:r>
      <w:r w:rsidR="0009526E">
        <w:rPr>
          <w:rFonts w:hint="eastAsia"/>
          <w:b/>
          <w:bCs/>
          <w:sz w:val="24"/>
          <w:u w:val="single"/>
        </w:rPr>
        <w:t>9</w:t>
      </w:r>
      <w:r>
        <w:rPr>
          <w:rFonts w:hint="eastAsia"/>
          <w:b/>
          <w:bCs/>
          <w:sz w:val="24"/>
          <w:u w:val="single"/>
        </w:rPr>
        <w:t>.</w:t>
      </w:r>
      <w:r w:rsidR="0009526E">
        <w:rPr>
          <w:rFonts w:hint="eastAsia"/>
          <w:b/>
          <w:bCs/>
          <w:sz w:val="24"/>
          <w:u w:val="single"/>
        </w:rPr>
        <w:t>22</w:t>
      </w:r>
      <w:r>
        <w:rPr>
          <w:rFonts w:ascii="SimSun" w:hAnsi="SimSun" w:hint="eastAsia"/>
          <w:b/>
          <w:bCs/>
          <w:sz w:val="24"/>
          <w:u w:val="single"/>
        </w:rPr>
        <w:t xml:space="preserve">                        </w:t>
      </w:r>
    </w:p>
    <w:tbl>
      <w:tblPr>
        <w:tblW w:w="87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5"/>
      </w:tblGrid>
      <w:tr w:rsidR="00000000" w14:paraId="2C161B88" w14:textId="77777777">
        <w:trPr>
          <w:trHeight w:val="11988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一、实验目的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流程掌握：</w:t>
            </w:r>
            <w:r>
              <w:rPr>
                <w:rFonts w:ascii="宋体" w:hAnsi="宋体" w:eastAsia="宋体"/>
                <w:b w:val="0"/>
                <w:sz w:val="20"/>
              </w:rPr>
              <w:t>完成 PPE 数据清洗、标注统一、特征关联、模型训练、评估和服务化推理的完整流程。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算法实践：</w:t>
            </w:r>
            <w:r>
              <w:rPr>
                <w:rFonts w:ascii="宋体" w:hAnsi="宋体" w:eastAsia="宋体"/>
                <w:b w:val="0"/>
                <w:sz w:val="20"/>
              </w:rPr>
              <w:t>使用 YOLOv8、ByteTrack 和几何规则实现人员安全帽、反光背心及危险区域监测。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指标分析：</w:t>
            </w:r>
            <w:r>
              <w:rPr>
                <w:rFonts w:ascii="宋体" w:hAnsi="宋体" w:eastAsia="宋体"/>
                <w:b w:val="0"/>
                <w:sz w:val="20"/>
              </w:rPr>
              <w:t>使用 Precision、Recall、F1、mAP@0.5 和 mAP@0.5:0.95 对模型和系统行为进行对比。</w:t>
            </w:r>
          </w:p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二、实验环境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硬件：</w:t>
            </w:r>
            <w:r>
              <w:rPr>
                <w:rFonts w:ascii="宋体" w:hAnsi="宋体" w:eastAsia="宋体"/>
                <w:b w:val="0"/>
                <w:sz w:val="20"/>
              </w:rPr>
              <w:t>NVIDIA GeForce RTX 4070 Laptop GPU，CUDA 12.6；本机同时支持 CPU fallback。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软件：</w:t>
            </w:r>
            <w:r>
              <w:rPr>
                <w:rFonts w:ascii="宋体" w:hAnsi="宋体" w:eastAsia="宋体"/>
                <w:b w:val="0"/>
                <w:sz w:val="20"/>
              </w:rPr>
              <w:t>Windows 10/11、Python 3.12.13、PowerShell、VS Code、FastAPI、Docker Compose。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主要库：</w:t>
            </w:r>
            <w:r>
              <w:rPr>
                <w:rFonts w:ascii="宋体" w:hAnsi="宋体" w:eastAsia="宋体"/>
                <w:b w:val="0"/>
                <w:sz w:val="20"/>
              </w:rPr>
              <w:t>PyTorch 2.6.0+cu126、Ultralytics 8.4.152、OpenCV、Pillow、NumPy、SQLAlchemy、pytest。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数据：</w:t>
            </w:r>
            <w:r>
              <w:rPr>
                <w:rFonts w:ascii="宋体" w:hAnsi="宋体" w:eastAsia="宋体"/>
                <w:b w:val="0"/>
                <w:sz w:val="20"/>
              </w:rPr>
              <w:t>Construction-PPE、SH17 和 Kaggle PPE 合并集；统一类别为 person、helmet、vest。</w:t>
            </w:r>
          </w:p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三、实验内容及要求</w:t>
            </w:r>
          </w:p>
          <w:p>
            <w:pPr>
              <w:spacing w:before="0"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本实验以工业安全智能监测系统为对象。先按图片 SHA256 去重并检查标签，再将不同来源的类别映射为三类业务目标；训练 YOLOv8n/YOLOv8s，对 test split 计算指标；推理阶段使用 ByteTrack 维持人员 track_id，并通过 PPE 空间关联、危险区域点在多边形内判断和连续帧告警规则完成系统输出。</w:t>
            </w:r>
          </w:p>
          <w:p>
            <w:pPr>
              <w:spacing w:before="0"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数据规模：合并集共 11,623 张图片、28,853 个标注框；train/val/test 分别为 8,276/2,184/1,163 张。测试集存在部分重压缩近重复画面，因此结果用于 E6/E7/E8 同口径对比，不包装为无泄漏泛化指标。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sz w:val="19"/>
              </w:rPr>
              <w:t>六个算法模块及实现方式：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1 YOLOv8n 检测：</w:t>
            </w:r>
            <w:r>
              <w:rPr>
                <w:rFonts w:ascii="宋体" w:hAnsi="宋体" w:eastAsia="宋体"/>
                <w:b w:val="0"/>
                <w:sz w:val="20"/>
              </w:rPr>
              <w:t>轻量基线模型，完成训练、test 评估和误检观察。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2 YOLOv8s 检测：</w:t>
            </w:r>
            <w:r>
              <w:rPr>
                <w:rFonts w:ascii="宋体" w:hAnsi="宋体" w:eastAsia="宋体"/>
                <w:b w:val="0"/>
                <w:sz w:val="20"/>
              </w:rPr>
              <w:t>主模型，对比更大容量模型的 Precision、Recall 和 mAP。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3 ByteTrack 跟踪：</w:t>
            </w:r>
            <w:r>
              <w:rPr>
                <w:rFonts w:ascii="宋体" w:hAnsi="宋体" w:eastAsia="宋体"/>
                <w:b w:val="0"/>
                <w:sz w:val="20"/>
              </w:rPr>
              <w:t>利用检测框轨迹关联生成稳定 track_id；不做额外梯度训练，以连续命中门限验证。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4 PPE 空间关联：</w:t>
            </w:r>
            <w:r>
              <w:rPr>
                <w:rFonts w:ascii="宋体" w:hAnsi="宋体" w:eastAsia="宋体"/>
                <w:b w:val="0"/>
                <w:sz w:val="20"/>
              </w:rPr>
              <w:t>以人员框与 PPE 框的 IoU/中心点包含关系进行安全帽和背心归属。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5 危险区多边形判断：</w:t>
            </w:r>
            <w:r>
              <w:rPr>
                <w:rFonts w:ascii="宋体" w:hAnsi="宋体" w:eastAsia="宋体"/>
                <w:b w:val="0"/>
                <w:sz w:val="20"/>
              </w:rPr>
              <w:t>取人员脚底中心点，使用点在多边形内规则判断 intrusion。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6 时间确认与冷却：</w:t>
            </w:r>
            <w:r>
              <w:rPr>
                <w:rFonts w:ascii="宋体" w:hAnsi="宋体" w:eastAsia="宋体"/>
                <w:b w:val="0"/>
                <w:sz w:val="20"/>
              </w:rPr>
              <w:t>连续 3 帧确认，同一人员同一规则 10 秒冷却；用回归视频验证误报和重复告警。</w:t>
            </w:r>
          </w:p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四、主要操作步骤（源码、训练结果和运行截图）</w:t>
            </w:r>
          </w:p>
          <w:tbl>
            <w:tblPr>
              <w:tblStyle w:val="ac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4357"/>
              <w:gridCol w:w="4357"/>
            </w:tblGrid>
            <w:tr>
              <w:tc>
                <w:tcPr>
                  <w:tcW w:type="dxa" w:w="4357"/>
                  <w:shd w:fill="1F4E79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步骤</w:t>
                  </w:r>
                </w:p>
              </w:tc>
              <w:tc>
                <w:tcPr>
                  <w:tcW w:type="dxa" w:w="4357"/>
                  <w:shd w:fill="1F4E79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实际操作与输出</w:t>
                  </w:r>
                </w:p>
              </w:tc>
            </w:tr>
            <w:tr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1 环境检查</w:t>
                  </w:r>
                </w:p>
              </w:tc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运行 `python scripts/check_environment.py`，确认 CUDA、Ultralytics、模型路径和目录权限。</w:t>
                  </w:r>
                </w:p>
              </w:tc>
            </w:tr>
            <w:tr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2 数据预处理</w:t>
                  </w:r>
                </w:p>
              </w:tc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执行数据下载、标签转换、SHA256 去重和 `validate_dataset.py`；将类别压缩为 person/helmet/vest。</w:t>
                  </w:r>
                </w:p>
              </w:tc>
            </w:tr>
            <w:tr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3 模型训练</w:t>
                  </w:r>
                </w:p>
              </w:tc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先运行 YOLOv8n/YOLOv8s smoke，再进行 Expanded PPE、Kaggle 合并集和 hard-case 精调；每次保存权重、参数和 results.csv。</w:t>
                  </w:r>
                </w:p>
              </w:tc>
            </w:tr>
            <w:tr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4 评估与对比</w:t>
                  </w:r>
                </w:p>
              </w:tc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运行 `evaluate_yolo.py` 生成 JSON 指标；运行 `evaluate_demo_set.py` 和 `evaluate_video_cases.py` 检查已知图片/视频回归。</w:t>
                  </w:r>
                </w:p>
              </w:tc>
            </w:tr>
            <w:tr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5 服务推理</w:t>
                  </w:r>
                </w:p>
              </w:tc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启动 FastAPI，登录 admin/admin123，上传图片或 MP4；前端展示标注图、检测统计、事件证据和任务进度。</w:t>
                  </w:r>
                </w:p>
              </w:tc>
            </w:tr>
            <w:tr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6 E8 门禁</w:t>
                  </w:r>
                </w:p>
              </w:tc>
              <w:tc>
                <w:tcPr>
                  <w:tcW w:type="dxa" w:w="4357"/>
                  <w:tcMar>
                    <w:top w:w="65" w:type="dxa"/>
                    <w:start w:w="75" w:type="dxa"/>
                    <w:bottom w:w="65" w:type="dxa"/>
                    <w:end w:w="75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E8 完成 30/30 轮后按 test、hard-case、demo、video 顺序自动验收。E8 Recall 上升但 Precision、F1、mAP@0.5 下降，故保留 E7 部署。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  系统图片检测工作台运行截图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0823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res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082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图2  训练方案指标对比（实际 JSON 结果）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0297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_comparis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029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AF0B1" w14:textId="77777777" w:rsidR="00F577CE" w:rsidRDefault="00F577CE">
      <w:pPr>
        <w:pStyle w:val="a3"/>
        <w:spacing w:line="360" w:lineRule="auto"/>
        <w:rPr>
          <w:rFonts w:ascii="SimSun" w:hAnsi="SimSun" w:hint="eastAsia"/>
          <w:sz w:val="28"/>
        </w:rPr>
        <w:sectPr w:rsidR="00000000">
          <w:headerReference w:type="default" r:id="rId7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</w:p>
    <w:tbl>
      <w:tblPr>
        <w:tblW w:w="8715" w:type="dxa"/>
        <w:tblInd w:w="10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00000000" w14:paraId="6FB33755" w14:textId="77777777">
        <w:trPr>
          <w:trHeight w:val="10755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五、实验思考（问题、分析与解决办法）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问题1：安全帽类别漏检和黑色安全帽误判。 </w:t>
            </w:r>
            <w:r>
              <w:rPr>
                <w:rFonts w:ascii="宋体" w:hAnsi="宋体" w:eastAsia="宋体"/>
                <w:b w:val="0"/>
                <w:sz w:val="18"/>
              </w:rPr>
              <w:t>初始模型对小目标、遮挡和深色安全帽的召回较低。解决办法是补充 Kaggle PPE 数据、保留 hard-case 原图及增强图，并在人员框内增加 PPE 空间约束；E7 helmet Recall 提升到 0.4548，E8 进一步为 0.4868，但仍需独立场景数据继续验证。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问题2：单帧检测会抖动并重复告警。 </w:t>
            </w:r>
            <w:r>
              <w:rPr>
                <w:rFonts w:ascii="宋体" w:hAnsi="宋体" w:eastAsia="宋体"/>
                <w:b w:val="0"/>
                <w:sz w:val="18"/>
              </w:rPr>
              <w:t>将人员检测送入 ByteTrack，以连续 3 次命中确认轨迹；规则层要求连续 3 帧触发，同一人员同一规则 10 秒冷却。两段视频回归均通过，短暂机械候选不会进入统计和事件。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问题3：不同数据集类别名称不一致。 </w:t>
            </w:r>
            <w:r>
              <w:rPr>
                <w:rFonts w:ascii="宋体" w:hAnsi="宋体" w:eastAsia="宋体"/>
                <w:b w:val="0"/>
                <w:sz w:val="18"/>
              </w:rPr>
              <w:t>建立类别别名映射，将 Person/people/worker 归一到 person，将 hardhat/safety_helmet 归一到 helmet，将 safety_vest/reflective_vest 归一到 vest，并对越界框、空标签和重复图像做质量检查。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问题4：训练与视频推理显卡利用率不稳定。 </w:t>
            </w:r>
            <w:r>
              <w:rPr>
                <w:rFonts w:ascii="宋体" w:hAnsi="宋体" w:eastAsia="宋体"/>
                <w:b w:val="0"/>
                <w:sz w:val="18"/>
              </w:rPr>
              <w:t>视频管线使用有界队列、batch=8、CUDA half 精度和单 GPU worker；通过内存上限避免并发任务导致显存崩溃。当前配置以稳定演示为优先，正式 720p/15 FPS 仍需单独基准测试。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问题5：测试集存在近重复画面。 </w:t>
            </w:r>
            <w:r>
              <w:rPr>
                <w:rFonts w:ascii="宋体" w:hAnsi="宋体" w:eastAsia="宋体"/>
                <w:b w:val="0"/>
                <w:sz w:val="18"/>
              </w:rPr>
              <w:t>报告中明确说明该 test split 适合 E7/E8 同口径比较，不能作为严格无泄漏泛化结论；后续应按视频或人员重新划分 300–500 帧独立场景测试集。</w:t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图3  模型实验页面与结构化检测结果截图已随项目保留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19615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s_comparis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961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6A7ED2E" w14:textId="77777777">
        <w:trPr>
          <w:trHeight w:val="2297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实验小结</w:t>
            </w:r>
          </w:p>
          <w:p>
            <w:pPr>
              <w:spacing w:before="0" w:after="6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本实验完成了从公开 PPE 数据下载、清洗、类别统一、模型训练、指标评估到 FastAPI 工作台演示的完整人工智能算法流程。六组训练方案表明，扩大数据和增加训练轮数能够显著提高整体检测能力；E7 在同口径 test split 上取得 Precision 0.7977、Recall 0.6620、F1 0.7235、mAP@0.5 0.7200，当前作为服务部署模型。E8 完成 30 轮训练并通过四项门禁，但综合指标不优于 E7，因此保留为候选模型而不直接替换。</w:t>
            </w:r>
          </w:p>
          <w:p>
            <w:pPr>
              <w:spacing w:before="0" w:after="6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通过本次实验，我进一步理解了检测模型指标、目标关联、跟踪稳定性和规则告警之间的关系。后续工作是补充按视频/人员隔离的独立场景数据，完成 720p 性能和跟踪规则消融实验，并在更大规模人工标注数据上继续改善安全帽小目标召回。</w:t>
            </w:r>
          </w:p>
          <w:p>
            <w:pPr>
              <w:spacing w:before="0" w:after="60" w:line="264" w:lineRule="auto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证据文件：`docs/EXPERIMENTS.md`、`docs/TEST_REPORT.md`、`results/e8-video150-gate-review.json`；源码与运行说明已随项目提交。</w:t>
            </w:r>
          </w:p>
        </w:tc>
      </w:tr>
    </w:tbl>
    <w:p w14:paraId="7342A7D1" w14:textId="77777777" w:rsidR="00061072" w:rsidRDefault="00061072">
      <w:pPr>
        <w:pStyle w:val="a3"/>
        <w:wordWrap w:val="0"/>
        <w:spacing w:line="360" w:lineRule="auto"/>
        <w:ind w:right="315"/>
        <w:jc w:val="right"/>
        <w:rPr>
          <w:rFonts w:hint="eastAsia"/>
        </w:rPr>
      </w:pPr>
    </w:p>
    <w:sectPr w:rsidR="00061072">
      <w:pgSz w:w="11906" w:h="16838"/>
      <w:pgMar w:top="1440" w:right="1588" w:bottom="1440" w:left="158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B199A" w14:textId="77777777" w:rsidR="00061072" w:rsidRDefault="00061072">
      <w:r>
        <w:separator/>
      </w:r>
    </w:p>
  </w:endnote>
  <w:endnote w:type="continuationSeparator" w:id="0">
    <w:p w14:paraId="0F48CF05" w14:textId="77777777" w:rsidR="00061072" w:rsidRDefault="00061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7E810" w14:textId="77777777" w:rsidR="00061072" w:rsidRDefault="00061072">
      <w:r>
        <w:separator/>
      </w:r>
    </w:p>
  </w:footnote>
  <w:footnote w:type="continuationSeparator" w:id="0">
    <w:p w14:paraId="5436E357" w14:textId="77777777" w:rsidR="00061072" w:rsidRDefault="00061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5CEC" w14:textId="77777777" w:rsidR="00F577CE" w:rsidRDefault="00F577CE">
    <w:pPr>
      <w:spacing w:line="360" w:lineRule="auto"/>
      <w:jc w:val="center"/>
      <w:textAlignment w:val="center"/>
      <w:rPr>
        <w:rFonts w:ascii="STXinwei" w:eastAsia="STXinwei" w:hAnsi="SimSun" w:hint="eastAsia"/>
        <w:b/>
        <w:bCs/>
        <w:sz w:val="36"/>
        <w:szCs w:val="36"/>
      </w:rPr>
    </w:pPr>
    <w:r>
      <w:rPr>
        <w:rFonts w:ascii="STXingkai" w:eastAsia="STXingkai" w:hAnsi="新宋体" w:hint="eastAsia"/>
        <w:b/>
        <w:sz w:val="36"/>
        <w:szCs w:val="36"/>
      </w:rPr>
      <w:t>南京传媒学院智能媒体工程学院</w:t>
    </w:r>
    <w:r>
      <w:rPr>
        <w:rFonts w:ascii="STXingkai" w:eastAsia="STXingkai" w:hAnsi="新宋体" w:hint="eastAsia"/>
        <w:b/>
        <w:sz w:val="36"/>
        <w:szCs w:val="36"/>
      </w:rPr>
      <w:t xml:space="preserve"> </w:t>
    </w:r>
    <w:r>
      <w:rPr>
        <w:rFonts w:ascii="STXingkai" w:eastAsia="STXingkai" w:hAnsi="SimSun" w:hint="eastAsia"/>
        <w:b/>
        <w:bCs/>
        <w:sz w:val="44"/>
        <w:szCs w:val="44"/>
      </w:rPr>
      <w:t>实验报告册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882414"/>
    <w:multiLevelType w:val="multilevel"/>
    <w:tmpl w:val="B78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1A4F9F3"/>
    <w:multiLevelType w:val="multilevel"/>
    <w:tmpl w:val="C1A4F9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BEF51C"/>
    <w:multiLevelType w:val="multilevel"/>
    <w:tmpl w:val="0CB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FF65281"/>
    <w:multiLevelType w:val="multilevel"/>
    <w:tmpl w:val="6FF6528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55005175">
    <w:abstractNumId w:val="0"/>
  </w:num>
  <w:num w:numId="2" w16cid:durableId="1455639966">
    <w:abstractNumId w:val="2"/>
  </w:num>
  <w:num w:numId="3" w16cid:durableId="1749687383">
    <w:abstractNumId w:val="3"/>
  </w:num>
  <w:num w:numId="4" w16cid:durableId="175115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Q4YWJiNzFlMTRhYzhhYTU5YWJjNmEyZjRmNWU3YmYifQ=="/>
  </w:docVars>
  <w:rsids>
    <w:rsidRoot w:val="00D55606"/>
    <w:rsid w:val="00002460"/>
    <w:rsid w:val="000054CF"/>
    <w:rsid w:val="00016EF6"/>
    <w:rsid w:val="00040799"/>
    <w:rsid w:val="0005652B"/>
    <w:rsid w:val="00061072"/>
    <w:rsid w:val="00081DF0"/>
    <w:rsid w:val="00092A4C"/>
    <w:rsid w:val="0009526E"/>
    <w:rsid w:val="000A1E66"/>
    <w:rsid w:val="000B4E46"/>
    <w:rsid w:val="000D4883"/>
    <w:rsid w:val="000E5580"/>
    <w:rsid w:val="000E5735"/>
    <w:rsid w:val="000F4C93"/>
    <w:rsid w:val="0011115B"/>
    <w:rsid w:val="001233F0"/>
    <w:rsid w:val="00123670"/>
    <w:rsid w:val="00140A23"/>
    <w:rsid w:val="00146680"/>
    <w:rsid w:val="001512BC"/>
    <w:rsid w:val="0015679C"/>
    <w:rsid w:val="0016687D"/>
    <w:rsid w:val="00183D87"/>
    <w:rsid w:val="001A6CC5"/>
    <w:rsid w:val="001C0EE5"/>
    <w:rsid w:val="001C249D"/>
    <w:rsid w:val="001F1F1A"/>
    <w:rsid w:val="001F2827"/>
    <w:rsid w:val="001F7C50"/>
    <w:rsid w:val="00201633"/>
    <w:rsid w:val="0022647D"/>
    <w:rsid w:val="00233A1C"/>
    <w:rsid w:val="00241BD4"/>
    <w:rsid w:val="00252B99"/>
    <w:rsid w:val="0026172F"/>
    <w:rsid w:val="00265F38"/>
    <w:rsid w:val="00280E51"/>
    <w:rsid w:val="002A5801"/>
    <w:rsid w:val="002D0237"/>
    <w:rsid w:val="002D1525"/>
    <w:rsid w:val="00322338"/>
    <w:rsid w:val="003235D6"/>
    <w:rsid w:val="00326C22"/>
    <w:rsid w:val="00330630"/>
    <w:rsid w:val="00363670"/>
    <w:rsid w:val="00366ECF"/>
    <w:rsid w:val="003836C0"/>
    <w:rsid w:val="00395938"/>
    <w:rsid w:val="003A2496"/>
    <w:rsid w:val="003A3181"/>
    <w:rsid w:val="003C501C"/>
    <w:rsid w:val="003C5473"/>
    <w:rsid w:val="003D0F43"/>
    <w:rsid w:val="00415560"/>
    <w:rsid w:val="00421001"/>
    <w:rsid w:val="004254C1"/>
    <w:rsid w:val="00436830"/>
    <w:rsid w:val="00467128"/>
    <w:rsid w:val="0047669F"/>
    <w:rsid w:val="004939B0"/>
    <w:rsid w:val="00495967"/>
    <w:rsid w:val="004C43FA"/>
    <w:rsid w:val="004D0442"/>
    <w:rsid w:val="004E691B"/>
    <w:rsid w:val="004F3AB8"/>
    <w:rsid w:val="00530FBB"/>
    <w:rsid w:val="00530FDB"/>
    <w:rsid w:val="00542350"/>
    <w:rsid w:val="00543669"/>
    <w:rsid w:val="00583128"/>
    <w:rsid w:val="0059797E"/>
    <w:rsid w:val="005E3E0D"/>
    <w:rsid w:val="005F4A23"/>
    <w:rsid w:val="006012DD"/>
    <w:rsid w:val="006370F4"/>
    <w:rsid w:val="00640657"/>
    <w:rsid w:val="00650FF1"/>
    <w:rsid w:val="00666BB4"/>
    <w:rsid w:val="0068254F"/>
    <w:rsid w:val="00691168"/>
    <w:rsid w:val="006962DC"/>
    <w:rsid w:val="006A51F3"/>
    <w:rsid w:val="006C1F79"/>
    <w:rsid w:val="006C6B18"/>
    <w:rsid w:val="006C7E16"/>
    <w:rsid w:val="006C7E1D"/>
    <w:rsid w:val="006D13CF"/>
    <w:rsid w:val="006E066F"/>
    <w:rsid w:val="006F5C10"/>
    <w:rsid w:val="006F6280"/>
    <w:rsid w:val="007448F7"/>
    <w:rsid w:val="007518C0"/>
    <w:rsid w:val="0076731D"/>
    <w:rsid w:val="00794111"/>
    <w:rsid w:val="007A3D32"/>
    <w:rsid w:val="007B33C8"/>
    <w:rsid w:val="007C0B56"/>
    <w:rsid w:val="00831676"/>
    <w:rsid w:val="00835992"/>
    <w:rsid w:val="00840308"/>
    <w:rsid w:val="00846844"/>
    <w:rsid w:val="008A2144"/>
    <w:rsid w:val="008A33E6"/>
    <w:rsid w:val="008A358D"/>
    <w:rsid w:val="008C15F5"/>
    <w:rsid w:val="00903919"/>
    <w:rsid w:val="00923E38"/>
    <w:rsid w:val="0093618C"/>
    <w:rsid w:val="00941B0C"/>
    <w:rsid w:val="009437EB"/>
    <w:rsid w:val="009662DA"/>
    <w:rsid w:val="00966870"/>
    <w:rsid w:val="009735F5"/>
    <w:rsid w:val="009952E9"/>
    <w:rsid w:val="009D6D8B"/>
    <w:rsid w:val="00A104E1"/>
    <w:rsid w:val="00A11D06"/>
    <w:rsid w:val="00A61380"/>
    <w:rsid w:val="00A70F87"/>
    <w:rsid w:val="00A719C3"/>
    <w:rsid w:val="00A86E37"/>
    <w:rsid w:val="00A8721B"/>
    <w:rsid w:val="00AA0BAA"/>
    <w:rsid w:val="00AB38EA"/>
    <w:rsid w:val="00AD3434"/>
    <w:rsid w:val="00B01467"/>
    <w:rsid w:val="00B25D44"/>
    <w:rsid w:val="00B6394C"/>
    <w:rsid w:val="00B93FD6"/>
    <w:rsid w:val="00BA1460"/>
    <w:rsid w:val="00BF3B61"/>
    <w:rsid w:val="00BF6FDF"/>
    <w:rsid w:val="00C14D1B"/>
    <w:rsid w:val="00C2396C"/>
    <w:rsid w:val="00C2407A"/>
    <w:rsid w:val="00C55EA9"/>
    <w:rsid w:val="00C935A9"/>
    <w:rsid w:val="00C94F95"/>
    <w:rsid w:val="00CA395F"/>
    <w:rsid w:val="00CC3744"/>
    <w:rsid w:val="00CC3C3C"/>
    <w:rsid w:val="00CC5F00"/>
    <w:rsid w:val="00CD3A1B"/>
    <w:rsid w:val="00CE3437"/>
    <w:rsid w:val="00CE5877"/>
    <w:rsid w:val="00CE5F12"/>
    <w:rsid w:val="00D119A4"/>
    <w:rsid w:val="00D5427D"/>
    <w:rsid w:val="00D55606"/>
    <w:rsid w:val="00D55E7A"/>
    <w:rsid w:val="00D82CF3"/>
    <w:rsid w:val="00DB358C"/>
    <w:rsid w:val="00DB6ADA"/>
    <w:rsid w:val="00DB75E8"/>
    <w:rsid w:val="00DC3E58"/>
    <w:rsid w:val="00DC6197"/>
    <w:rsid w:val="00E04CC6"/>
    <w:rsid w:val="00E16F8F"/>
    <w:rsid w:val="00E22CA9"/>
    <w:rsid w:val="00E47F45"/>
    <w:rsid w:val="00E506B6"/>
    <w:rsid w:val="00E6407C"/>
    <w:rsid w:val="00E74D40"/>
    <w:rsid w:val="00E74D7F"/>
    <w:rsid w:val="00E762EB"/>
    <w:rsid w:val="00ED67D9"/>
    <w:rsid w:val="00F228E3"/>
    <w:rsid w:val="00F577CE"/>
    <w:rsid w:val="00F614DB"/>
    <w:rsid w:val="00F828FB"/>
    <w:rsid w:val="00FA0D5F"/>
    <w:rsid w:val="00FA55A9"/>
    <w:rsid w:val="00FC16A3"/>
    <w:rsid w:val="00FE778F"/>
    <w:rsid w:val="021C0A31"/>
    <w:rsid w:val="02D467D3"/>
    <w:rsid w:val="04F010A4"/>
    <w:rsid w:val="090D12BC"/>
    <w:rsid w:val="09976DD7"/>
    <w:rsid w:val="0EF065D2"/>
    <w:rsid w:val="101C3B92"/>
    <w:rsid w:val="10DC66E2"/>
    <w:rsid w:val="139D5AEF"/>
    <w:rsid w:val="15154C72"/>
    <w:rsid w:val="15EE2139"/>
    <w:rsid w:val="1A387C3C"/>
    <w:rsid w:val="1A732E0F"/>
    <w:rsid w:val="1AC6751C"/>
    <w:rsid w:val="1AFF273F"/>
    <w:rsid w:val="1F996BF4"/>
    <w:rsid w:val="215859EE"/>
    <w:rsid w:val="23612532"/>
    <w:rsid w:val="246A0F18"/>
    <w:rsid w:val="25304CEF"/>
    <w:rsid w:val="28034902"/>
    <w:rsid w:val="2A8D5961"/>
    <w:rsid w:val="2EA94D33"/>
    <w:rsid w:val="33A917F9"/>
    <w:rsid w:val="34E02D31"/>
    <w:rsid w:val="381B22F3"/>
    <w:rsid w:val="3A3B1EE0"/>
    <w:rsid w:val="3C22713E"/>
    <w:rsid w:val="3D480137"/>
    <w:rsid w:val="42F15B89"/>
    <w:rsid w:val="46CF613A"/>
    <w:rsid w:val="4BB83870"/>
    <w:rsid w:val="4C4E03D8"/>
    <w:rsid w:val="4FEB6B02"/>
    <w:rsid w:val="506B269C"/>
    <w:rsid w:val="51193D6B"/>
    <w:rsid w:val="57ED79F3"/>
    <w:rsid w:val="5A6D7F5A"/>
    <w:rsid w:val="5EDE3506"/>
    <w:rsid w:val="651F307E"/>
    <w:rsid w:val="684C7E1B"/>
    <w:rsid w:val="6A2246CE"/>
    <w:rsid w:val="6A3952FB"/>
    <w:rsid w:val="6E0411B9"/>
    <w:rsid w:val="76472434"/>
    <w:rsid w:val="76DD5309"/>
    <w:rsid w:val="79627585"/>
    <w:rsid w:val="7C085BC0"/>
    <w:rsid w:val="7F0D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DE2E44F"/>
  <w15:chartTrackingRefBased/>
  <w15:docId w15:val="{59A30313-C319-4833-9010-B6B2D3D1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SimSun" w:hAnsi="SimSun" w:cs="SimSun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SimSun" w:hAnsi="SimSun" w:cs="SimSun"/>
      <w:b/>
      <w:bCs/>
      <w:sz w:val="36"/>
      <w:szCs w:val="36"/>
    </w:rPr>
  </w:style>
  <w:style w:type="paragraph" w:styleId="a3">
    <w:name w:val="Body Text"/>
    <w:basedOn w:val="a"/>
    <w:link w:val="a4"/>
    <w:pPr>
      <w:tabs>
        <w:tab w:val="left" w:pos="360"/>
      </w:tabs>
    </w:pPr>
    <w:rPr>
      <w:b/>
      <w:bCs/>
    </w:rPr>
  </w:style>
  <w:style w:type="character" w:customStyle="1" w:styleId="a4">
    <w:name w:val="正文文本 字符"/>
    <w:link w:val="a3"/>
    <w:rPr>
      <w:rFonts w:ascii="Times New Roman" w:eastAsia="SimSun" w:hAnsi="Times New Roman" w:cs="Times New Roman"/>
      <w:b/>
      <w:bCs/>
      <w:szCs w:val="24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rFonts w:ascii="Times New Roman" w:eastAsia="SimSu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semiHidden/>
    <w:rPr>
      <w:sz w:val="18"/>
      <w:szCs w:val="18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463</Characters>
  <Application>Microsoft Office Word</Application>
  <DocSecurity>4</DocSecurity>
  <Lines>52</Lines>
  <Paragraphs>21</Paragraphs>
  <ScaleCrop>false</ScaleCrop>
  <Company>CUCN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郭斌</dc:creator>
  <cp:keywords/>
  <dc:description/>
  <cp:lastModifiedBy>文杰 朱</cp:lastModifiedBy>
  <cp:revision>2</cp:revision>
  <dcterms:created xsi:type="dcterms:W3CDTF">2026-09-22T03:13:00Z</dcterms:created>
  <dcterms:modified xsi:type="dcterms:W3CDTF">2026-09-22T03:13:00Z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76EA36C219314D36A3FDD6796815A08A_12</vt:lpwstr>
  </property>
  <property fmtid="{D5CDD505-2E9C-101B-9397-08002B2CF9AE}" pid="4" name="KSOTemplateDocerSaveRecord">
    <vt:lpwstr>eyJoZGlkIjoiNzg2OTUzYmRlNjk0NjEzZDc0MWM0YjM2ZjYzYmUxN2IiLCJ1c2VySWQiOiIzNTcwMTYxNjcifQ==</vt:lpwstr>
  </property>
</Properties>
</file>