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bCs w:val="1"/>
          <w:sz w:val="36"/>
          <w:szCs w:val="36"/>
          <w:rtl w:val="0"/>
          <w:lang w:val="es-MX" w:bidi="es-MX" w:eastAsia="es-MX"/>
        </w:rPr>
      </w:pPr>
      <w:r>
        <w:rPr>
          <w:b w:val="1"/>
          <w:bCs w:val="1"/>
          <w:sz w:val="36"/>
          <w:szCs w:val="36"/>
          <w:rtl w:val="0"/>
          <w:lang w:val="es-MX" w:bidi="es-MX" w:eastAsia="es-MX"/>
        </w:rPr>
        <w:t>Presentac</w:t>
      </w:r>
      <w:r>
        <w:rPr>
          <w:b w:val="1"/>
          <w:bCs w:val="1"/>
          <w:sz w:val="36"/>
          <w:szCs w:val="36"/>
          <w:rtl w:val="0"/>
          <w:lang w:val="es-MX" w:bidi="es-MX" w:eastAsia="es-MX"/>
        </w:rPr>
        <w:t>ion Ae</w:t>
      </w:r>
      <w:r>
        <w:rPr>
          <w:b w:val="1"/>
          <w:bCs w:val="1"/>
          <w:sz w:val="36"/>
          <w:szCs w:val="36"/>
          <w:rtl w:val="0"/>
          <w:lang w:val="es-MX" w:bidi="es-MX" w:eastAsia="es-MX"/>
        </w:rPr>
        <w:t>ropuertos</w:t>
      </w:r>
    </w:p>
    <w:p>
      <w:pPr>
        <w:jc w:val="center"/>
        <w:rPr>
          <w:b w:val="0"/>
          <w:bCs w:val="0"/>
          <w:sz w:val="28"/>
          <w:szCs w:val="28"/>
          <w:rtl w:val="0"/>
          <w:lang w:val="es-MX" w:bidi="es-MX" w:eastAsia="es-MX"/>
        </w:rPr>
      </w:pPr>
      <w:r>
        <w:rPr>
          <w:b w:val="0"/>
          <w:bCs w:val="0"/>
          <w:sz w:val="28"/>
          <w:szCs w:val="28"/>
          <w:rtl w:val="0"/>
          <w:lang w:val="es-MX" w:bidi="es-MX" w:eastAsia="es-MX"/>
        </w:rPr>
        <w:t xml:space="preserve">Fuente oficial: </w:t>
      </w:r>
      <w:hyperlink r:id="R2">
        <w:r>
          <w:rPr>
            <w:rStyle w:val="C2"/>
            <w:b w:val="0"/>
            <w:bCs w:val="0"/>
            <w:sz w:val="28"/>
            <w:szCs w:val="28"/>
            <w:rtl w:val="0"/>
            <w:lang w:val="es-MX" w:bidi="es-MX" w:eastAsia="es-MX"/>
          </w:rPr>
          <w:t>https://www.gbif.org/</w:t>
        </w:r>
      </w:hyperlink>
    </w:p>
    <w:p>
      <w:pPr>
        <w:jc w:val="center"/>
        <w:rPr>
          <w:b w:val="0"/>
          <w:bCs w:val="0"/>
          <w:sz w:val="28"/>
          <w:szCs w:val="28"/>
        </w:rPr>
      </w:pPr>
      <w:r>
        <w:rPr>
          <w:b w:val="0"/>
          <w:bCs w:val="0"/>
          <w:sz w:val="28"/>
          <w:szCs w:val="28"/>
          <w:rtl w:val="0"/>
          <w:lang w:val="es-MX" w:bidi="es-MX" w:eastAsia="es-MX"/>
        </w:rPr>
        <w:t>Dataset investigado</w:t>
      </w:r>
      <w:r>
        <w:rPr>
          <w:b w:val="0"/>
          <w:bCs w:val="0"/>
          <w:sz w:val="28"/>
          <w:szCs w:val="28"/>
          <w:rtl w:val="0"/>
          <w:lang w:val="es-MX" w:bidi="es-MX" w:eastAsia="es-MX"/>
        </w:rPr>
        <w:t xml:space="preserve">: </w:t>
      </w:r>
      <w:bookmarkStart w:id="0" w:name="_dx_frag_StartFragment"/>
      <w:bookmarkEnd w:id="0"/>
      <w:r>
        <w:rPr>
          <w:rFonts w:ascii="Times New Roman" w:hAnsi="Times New Roman" w:cs="Times New Roman" w:eastAsia="Times New Roman"/>
          <w:b w:val="0"/>
          <w:i w:val="0"/>
          <w:vanish w:val="0"/>
          <w:color w:val="000000"/>
          <w:sz w:val="27"/>
          <w:szCs w:val="27"/>
        </w:rPr>
        <w:t>https://archivos.linti.unlp.edu.ar/index.php/s/TYVZ5U6HC457M1k</w:t>
      </w:r>
      <w:bookmarkStart w:id="1" w:name="_dx_frag_EndFragment"/>
      <w:bookmarkEnd w:id="1"/>
    </w:p>
    <w:p>
      <w:pPr>
        <w:rPr>
          <w:b w:val="1"/>
          <w:bCs w:val="1"/>
          <w:sz w:val="28"/>
          <w:szCs w:val="28"/>
        </w:rPr>
      </w:pPr>
    </w:p>
    <w:p>
      <w:pPr>
        <w:rPr>
          <w:b w:val="1"/>
          <w:bCs w:val="1"/>
          <w:sz w:val="28"/>
          <w:szCs w:val="28"/>
        </w:rPr>
      </w:pPr>
    </w:p>
    <w:p>
      <w:pPr>
        <w:rPr>
          <w:b w:val="1"/>
          <w:bCs w:val="1"/>
          <w:sz w:val="28"/>
          <w:szCs w:val="28"/>
        </w:rPr>
      </w:pPr>
      <w:r>
        <w:rPr>
          <w:b w:val="1"/>
          <w:bCs w:val="1"/>
          <w:sz w:val="28"/>
          <w:szCs w:val="28"/>
        </w:rPr>
        <w:t>Aeropuertos de Argentina: qué muestran los datos sobre su distribución, actividad y ubicación</w:t>
      </w:r>
    </w:p>
    <w:p>
      <w:pPr>
        <w:rPr>
          <w:b w:val="1"/>
          <w:bCs w:val="1"/>
          <w:sz w:val="28"/>
          <w:szCs w:val="28"/>
        </w:rPr>
      </w:pPr>
      <w:r>
        <w:rPr>
          <w:b w:val="1"/>
          <w:bCs w:val="1"/>
          <w:sz w:val="28"/>
          <w:szCs w:val="28"/>
        </w:rPr>
        <w:t>Un recorrido por los aeropuertos argentinos a través de los datos</w:t>
      </w:r>
    </w:p>
    <w:p/>
    <w:p>
      <w:r>
        <w:t>Los aeropuertos cumplen un papel fundamental en la comunicación y conectividad de un país, ya que permiten trasladar personas y mercancías entre distintas regiones. Para conocer mejor cómo se distribuyen estas instalaciones en Argentina, se analizó un conjunto de datos de aeropuertos y aeródromos, que incluye información como su nombre, ubicación, tipo de instalación, elevación y provincia.</w:t>
      </w:r>
    </w:p>
    <w:p/>
    <w:p>
      <w:r>
        <w:rPr>
          <w:b w:val="1"/>
          <w:bCs w:val="1"/>
          <w:sz w:val="28"/>
          <w:szCs w:val="28"/>
        </w:rPr>
        <w:t>Una red concentrada en algunas provincias</w:t>
      </w:r>
    </w:p>
    <w:p/>
    <w:p>
      <w:r>
        <w:t>Uno de los aspectos más destacados es la distribución desigual de los aeropuertos dentro del territorio nacional. La provincia de Buenos Aires es la que reúne la mayor cantidad de instalaciones registradas en el conjunto de datos, con 268 aeropuertos, seguida por Córdoba, con 100, y Santa Fe, con 97.</w:t>
      </w:r>
    </w:p>
    <w:p/>
    <w:p>
      <w:r>
        <w:drawing>
          <wp:inline xmlns:wp="http://schemas.openxmlformats.org/drawingml/2006/wordprocessingDrawing" distT="0" distB="0" distL="0" distR="0">
            <wp:extent cx="5943600" cy="2789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1"/>
                    <a:srcRect/>
                    <a:stretch>
                      <a:fillRect/>
                    </a:stretch>
                  </pic:blipFill>
                  <pic:spPr>
                    <a:xfrm>
                      <a:off x="0" y="0"/>
                      <a:ext cx="5943600" cy="2789555"/>
                    </a:xfrm>
                    <a:prstGeom prst="rect"/>
                  </pic:spPr>
                </pic:pic>
              </a:graphicData>
            </a:graphic>
          </wp:inline>
        </w:drawing>
      </w:r>
    </w:p>
    <w:p>
      <w:r>
        <w:t>Esta distribución permite observar que algunas provincias concentran una gran parte de la infraestructura aeroportuaria. Esto puede estar relacionado con factores como el tamaño del territorio, la cantidad de localidades y las actividades económicas y productivas de cada región.</w:t>
      </w:r>
    </w:p>
    <w:p/>
    <w:p>
      <w:pPr>
        <w:rPr>
          <w:b w:val="1"/>
          <w:bCs w:val="1"/>
          <w:color w:val="000000"/>
          <w:sz w:val="28"/>
          <w:szCs w:val="28"/>
        </w:rPr>
      </w:pPr>
      <w:r>
        <w:rPr>
          <w:b w:val="1"/>
          <w:bCs w:val="1"/>
          <w:color w:val="000000"/>
          <w:sz w:val="28"/>
          <w:szCs w:val="28"/>
        </w:rPr>
        <w:t>Predominan los aeropuertos pequeños</w:t>
      </w:r>
    </w:p>
    <w:p/>
    <w:p>
      <w:r>
        <w:t>Otra característica importante aparece al observar el tipo de instalación. De los 956 registros analizados, 694 corresponden a pequeños aeropuertos, mientras que hay 148 helipuertos, 69 aeropuertos medianos, 42 instalaciones cerradas y solamente 2 grandes aeropuertos.</w:t>
      </w:r>
    </w:p>
    <w:p>
      <w:r>
        <w:drawing>
          <wp:inline xmlns:wp="http://schemas.openxmlformats.org/drawingml/2006/wordprocessingDrawing" distT="0" distB="0" distL="0" distR="0">
            <wp:extent cx="4591685" cy="2162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2"/>
                    <a:srcRect/>
                    <a:stretch>
                      <a:fillRect/>
                    </a:stretch>
                  </pic:blipFill>
                  <pic:spPr>
                    <a:xfrm>
                      <a:off x="0" y="0"/>
                      <a:ext cx="4591685" cy="2162810"/>
                    </a:xfrm>
                    <a:prstGeom prst="rect"/>
                  </pic:spPr>
                </pic:pic>
              </a:graphicData>
            </a:graphic>
          </wp:inline>
        </w:drawing>
      </w:r>
    </w:p>
    <w:p>
      <w:r>
        <w:t>Los resultados muestran una clara presencia de instalaciones ubicadas en zonas de gran altura, especialmente en regiones cercanas a la cordillera de los Andes y otras áreas montañosas. Esto demuestra cómo las características geográficas del territorio influyen directamente en la ubicación de parte de la infraestructura aeroportuaria.</w:t>
      </w:r>
    </w:p>
    <w:p/>
    <w:p>
      <w:pPr>
        <w:spacing w:before="240" w:after="240" w:beforeAutospacing="0" w:afterAutospacing="0"/>
        <w:ind w:firstLine="0" w:left="0" w:right="0"/>
        <w:outlineLvl w:val="2"/>
        <w:rPr>
          <w:b w:val="1"/>
          <w:sz w:val="28"/>
          <w:szCs w:val="28"/>
        </w:rPr>
      </w:pPr>
      <w:bookmarkStart w:id="2" w:name="_dx_frag_StartFragment"/>
      <w:bookmarkEnd w:id="2"/>
      <w:r>
        <w:rPr>
          <w:b w:val="1"/>
          <w:sz w:val="28"/>
          <w:szCs w:val="28"/>
        </w:rPr>
        <w:t>Los aeropuertos ubicados a mayor altura</w:t>
      </w:r>
    </w:p>
    <w:p>
      <w:r>
        <w:t>El análisis de la elevación también permite encontrar diferencias importantes. Al ordenar los registros de mayor a menor altura, se identificaron los diez aeropuertos con mayor elevación sobre el nivel del mar.</w:t>
      </w:r>
      <w:bookmarkStart w:id="3" w:name="_dx_frag_EndFragment"/>
      <w:bookmarkEnd w:id="3"/>
    </w:p>
    <w:p>
      <w:r>
        <w:drawing>
          <wp:inline xmlns:wp="http://schemas.openxmlformats.org/drawingml/2006/wordprocessingDrawing" distT="0" distB="0" distL="0" distR="0">
            <wp:extent cx="5943600" cy="1276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xmlns:r="http://schemas.openxmlformats.org/officeDocument/2006/relationships" r:embed="Relimage3"/>
                    <a:srcRect/>
                    <a:stretch>
                      <a:fillRect/>
                    </a:stretch>
                  </pic:blipFill>
                  <pic:spPr>
                    <a:xfrm>
                      <a:off x="0" y="0"/>
                      <a:ext cx="5943600" cy="1276350"/>
                    </a:xfrm>
                    <a:prstGeom prst="rect"/>
                  </pic:spPr>
                </pic:pic>
              </a:graphicData>
            </a:graphic>
          </wp:inline>
        </w:drawing>
      </w:r>
      <w:bookmarkStart w:id="4" w:name="_dx_frag_StartFragment"/>
      <w:bookmarkEnd w:id="4"/>
    </w:p>
    <w:p>
      <w:r>
        <w:t xml:space="preserve">El primer lugar corresponde al </w:t>
      </w:r>
      <w:r>
        <w:rPr>
          <w:b w:val="1"/>
          <w:bCs w:val="1"/>
        </w:rPr>
        <w:t>Salar De Cauchari Airport</w:t>
      </w:r>
      <w:r>
        <w:t xml:space="preserve">, ubicado a </w:t>
      </w:r>
      <w:r>
        <w:rPr>
          <w:b w:val="1"/>
          <w:bCs w:val="1"/>
        </w:rPr>
        <w:t>13.000 pies</w:t>
      </w:r>
      <w:r>
        <w:t xml:space="preserve"> de elevación. En segundo lugar aparece </w:t>
      </w:r>
      <w:r>
        <w:rPr>
          <w:b w:val="1"/>
          <w:bCs w:val="1"/>
        </w:rPr>
        <w:t>Pachón Minera Heliport</w:t>
      </w:r>
      <w:r>
        <w:t xml:space="preserve">, con 11.810 pies, y en tercer lugar </w:t>
      </w:r>
      <w:r>
        <w:rPr>
          <w:b w:val="1"/>
          <w:bCs w:val="1"/>
        </w:rPr>
        <w:t>La Quiaca Airport</w:t>
      </w:r>
      <w:r>
        <w:t xml:space="preserve">, con 11.414 pies. También aparecen el </w:t>
      </w:r>
      <w:r>
        <w:rPr>
          <w:b w:val="1"/>
          <w:bCs w:val="1"/>
        </w:rPr>
        <w:t>Cristo Redentor Airport</w:t>
      </w:r>
      <w:r>
        <w:t xml:space="preserve">, con 10.477 pies, y el </w:t>
      </w:r>
      <w:r>
        <w:rPr>
          <w:b w:val="1"/>
          <w:bCs w:val="1"/>
        </w:rPr>
        <w:t>Cachi Airport</w:t>
      </w:r>
      <w:r>
        <w:t>, con 8.232 pies.</w:t>
      </w:r>
      <w:bookmarkStart w:id="5" w:name="_dx_frag_EndFragment"/>
      <w:bookmarkEnd w:id="5"/>
    </w:p>
    <w:p/>
    <w:p>
      <w:r>
        <w:drawing>
          <wp:inline xmlns:wp="http://schemas.openxmlformats.org/drawingml/2006/wordprocessingDrawing" distT="0" distB="0" distL="0" distR="0">
            <wp:extent cx="2409825" cy="3596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xmlns:r="http://schemas.openxmlformats.org/officeDocument/2006/relationships" r:embed="Relimage4"/>
                    <a:srcRect/>
                    <a:stretch>
                      <a:fillRect/>
                    </a:stretch>
                  </pic:blipFill>
                  <pic:spPr>
                    <a:xfrm>
                      <a:off x="0" y="0"/>
                      <a:ext cx="2409825" cy="3596005"/>
                    </a:xfrm>
                    <a:prstGeom prst="rect"/>
                  </pic:spPr>
                </pic:pic>
              </a:graphicData>
            </a:graphic>
          </wp:inline>
        </w:drawing>
      </w:r>
    </w:p>
    <w:p>
      <w:bookmarkStart w:id="6" w:name="_dx_frag_StartFragment"/>
      <w:bookmarkEnd w:id="6"/>
    </w:p>
    <w:p>
      <w:r>
        <w:t>Los resultados muestran una clara presencia de instalaciones ubicadas en zonas de gran altura, especialmente en regiones cercanas a la cordillera de los Andes y otras áreas montañosas. Esto demuestra cómo las características geográficas del territorio influyen directamente en la ubicación de parte de la infraestructura aeroportuaria.</w:t>
      </w:r>
      <w:bookmarkStart w:id="7" w:name="_dx_frag_EndFragment"/>
      <w:bookmarkEnd w:id="7"/>
    </w:p>
    <w:p/>
    <w:p>
      <w:pPr>
        <w:rPr>
          <w:b w:val="1"/>
          <w:bCs w:val="1"/>
          <w:sz w:val="28"/>
          <w:szCs w:val="28"/>
        </w:rPr>
      </w:pPr>
      <w:r>
        <w:rPr>
          <w:b w:val="1"/>
          <w:bCs w:val="1"/>
          <w:sz w:val="28"/>
          <w:szCs w:val="28"/>
        </w:rPr>
        <w:t>Los aeropuertos cerrados también forman parte del panorama</w:t>
      </w:r>
    </w:p>
    <w:p/>
    <w:p>
      <w:r>
        <w:t>Finalmente, el conjunto de datos registra 42 aeropuertos con estado “cerrado”. La provincia de Buenos Aires concentra la mayor cantidad, con 12 instalaciones cerradas, seguida por Santiago del Estero, con 6, y Santa Fe, con 4.</w:t>
      </w:r>
    </w:p>
    <w:p>
      <w:r>
        <w:drawing>
          <wp:inline xmlns:wp="http://schemas.openxmlformats.org/drawingml/2006/wordprocessingDrawing" distT="0" distB="0" distL="0" distR="0">
            <wp:extent cx="3032125" cy="4610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xmlns:r="http://schemas.openxmlformats.org/officeDocument/2006/relationships" r:embed="Relimage5"/>
                    <a:srcRect/>
                    <a:stretch>
                      <a:fillRect/>
                    </a:stretch>
                  </pic:blipFill>
                  <pic:spPr>
                    <a:xfrm>
                      <a:off x="0" y="0"/>
                      <a:ext cx="3032125" cy="4610735"/>
                    </a:xfrm>
                    <a:prstGeom prst="rect"/>
                  </pic:spPr>
                </pic:pic>
              </a:graphicData>
            </a:graphic>
          </wp:inline>
        </w:drawing>
      </w:r>
    </w:p>
    <w:p>
      <w:bookmarkStart w:id="8" w:name="_dx_frag_StartFragment"/>
      <w:bookmarkEnd w:id="8"/>
    </w:p>
    <w:p>
      <w:r>
        <w:t>El mapa permite observar que los aeropuertos cerrados no se encuentran concentrados exclusivamente en una única región, sino que están distribuidos por diferentes partes del país.</w:t>
      </w:r>
      <w:bookmarkStart w:id="9" w:name="_dx_frag_EndFragment"/>
      <w:bookmarkEnd w:id="9"/>
    </w:p>
    <w:p/>
    <w:p>
      <w:pPr>
        <w:spacing w:before="240" w:after="240" w:beforeAutospacing="0" w:afterAutospacing="0"/>
        <w:ind w:firstLine="0" w:left="0" w:right="0"/>
        <w:outlineLvl w:val="1"/>
        <w:rPr>
          <w:b w:val="1"/>
          <w:sz w:val="28"/>
          <w:szCs w:val="28"/>
        </w:rPr>
      </w:pPr>
      <w:bookmarkStart w:id="10" w:name="_dx_frag_StartFragment"/>
      <w:bookmarkEnd w:id="10"/>
      <w:r>
        <w:rPr>
          <w:b w:val="1"/>
          <w:sz w:val="28"/>
          <w:szCs w:val="28"/>
        </w:rPr>
        <w:t>Conclusiones</w:t>
      </w:r>
    </w:p>
    <w:p>
      <w:pPr>
        <w:rPr>
          <w:rtl w:val="0"/>
          <w:lang w:val="es-MX" w:bidi="es-MX" w:eastAsia="es-MX"/>
        </w:rPr>
      </w:pPr>
      <w:r>
        <w:t>El análisis de los datos permite obtener una visión general de la infraestructura aeroportuaria argentina. Se observa una fuerte concentración de instalaciones en algunas provincias</w:t>
      </w:r>
      <w:r>
        <w:rPr>
          <w:rtl w:val="0"/>
          <w:lang w:val="es-MX" w:bidi="es-MX" w:eastAsia="es-MX"/>
        </w:rPr>
        <w:t xml:space="preserve"> y </w:t>
      </w:r>
      <w:r>
        <w:t>un claro predominio de aeropuertos pequeños</w:t>
      </w:r>
      <w:bookmarkStart w:id="11" w:name="_dx_frag_EndFragment"/>
      <w:bookmarkEnd w:id="11"/>
      <w:r>
        <w:rPr>
          <w:rtl w:val="0"/>
          <w:lang w:val="es-MX" w:bidi="es-MX" w:eastAsia="es-MX"/>
        </w:rPr>
        <w:t>.</w:t>
      </w:r>
    </w:p>
    <w:p>
      <w:pPr>
        <w:spacing w:before="240" w:after="240" w:beforeAutospacing="0" w:afterAutospacing="0"/>
        <w:ind w:firstLine="0" w:left="0" w:right="0"/>
      </w:pPr>
      <w:bookmarkStart w:id="12" w:name="_dx_frag_StartFragment"/>
      <w:bookmarkEnd w:id="12"/>
      <w:r>
        <w:t>Además, la información sobre elevación demuestra la diversidad geográfica del país, con aeropuertos ubicados desde zonas de baja altitud hasta instalaciones situadas a más de 13.000 pies sobre el nivel del mar.</w:t>
      </w:r>
    </w:p>
    <w:p>
      <w:r>
        <w:t>Estos resultados podrían profundizarse incorporando nuevos análisis, como la relación entre ubicación y actividad aeroportuaria, la evolución de los registros a lo largo del tiempo o la distribución de los aeropuertos según su estado y tipo.</w:t>
      </w:r>
      <w:bookmarkStart w:id="13" w:name="_dx_frag_EndFragment"/>
      <w:bookmarkEnd w:id="13"/>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2" Type="http://schemas.openxmlformats.org/officeDocument/2006/relationships/hyperlink" Target="https://www.gbif.org/"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2026-09-09T12:31:07Z</dcterms:created>
  <dcterms:modified xsi:type="dcterms:W3CDTF">2026-09-09T12:31:07Z</dcterms:modified>
  <cp:revision>2</cp:revision>
</cp:coreProperties>
</file>