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30"/>
          <w:sz w:val="44"/>
        </w:rPr>
        <w:t>数智光衡 · 碳能观测舱</w:t>
      </w:r>
    </w:p>
    <w:p>
      <w:pPr>
        <w:jc w:val="center"/>
      </w:pPr>
      <w:r>
        <w:rPr>
          <w:color w:val="556688"/>
          <w:sz w:val="22"/>
        </w:rPr>
        <w:t>高校教室自然光协同智能照明节能控制系统 · Web 可视化数据大屏</w:t>
      </w:r>
    </w:p>
    <w:p/>
    <w:p>
      <w:pPr>
        <w:pStyle w:val="Heading2"/>
      </w:pPr>
      <w:r>
        <w:t>平台概述</w:t>
      </w:r>
    </w:p>
    <w:p>
      <w:r>
        <w:t>数智光衡碳能观测舱是一个面向高校教室照明的实时数据监测与可视化平台。它将 AI 视觉检测、自然光感应、分区灯控、能耗统计等硬件前端采集的数据，转化为可交互、可追溯、可演示的多维数据大屏，实现"每一盏灯都有数据，每一度电都有账本"。</w:t>
        <w:br/>
        <w:br/>
        <w:t>平台部署于 GitHub Pages + Render 云端服务，支持浏览器直接访问，无需安装任何插件。全站分为 8 个功能模块，通过滚动浏览完成从实时状态到历史趋势到碳账本的完整数据叙事。</w:t>
      </w:r>
    </w:p>
    <w:p>
      <w:pPr>
        <w:pStyle w:val="Heading3"/>
      </w:pPr>
      <w:r>
        <w:t>模块一：实时 KPI 仪表盘</w:t>
      </w:r>
    </w:p>
    <w:p>
      <w:r>
        <w:t>页面首屏展示系统核心指标：累计节电（kWh）、节能率（%）、CO₂ 减排量（kg）、等效植树量（棵）、节省电费（元）。所有数字均配备递增动画，数据源为 Render 后端实时计算。右上角环境卡片接入了 Open-Meteo 卫星气象数据，实时显示太阳辐射强度、云量遮挡、自然光贡献率，驱动 AI 控制策略动态调整。</w:t>
      </w:r>
    </w:p>
    <w:p>
      <w:pPr>
        <w:pStyle w:val="Heading3"/>
      </w:pPr>
      <w:r>
        <w:t>模块二：教室数字孪生 · 三区灯控</w:t>
      </w:r>
    </w:p>
    <w:p>
      <w:r>
        <w:t>以俯视 SVG 图形还原标准教室布局——40 个座位、讲台、窗户、三区灯具。绿色光点表示实时检测到的人员位置，左/中/右三个照明分区独立显示开关状态和功率读数。下方三条功率进度条直观对比各分区能耗，AI 控制策略标签和 W/人 效率指标同步展示。</w:t>
      </w:r>
    </w:p>
    <w:p>
      <w:pPr>
        <w:pStyle w:val="Heading3"/>
      </w:pPr>
      <w:r>
        <w:t>模块三：24 小时能耗对比曲线</w:t>
      </w:r>
    </w:p>
    <w:p>
      <w:r>
        <w:t>以 15 分钟为粒度展示单间教室全天 96 个时间点的功率变化。灰色曲线代表传统全亮基线（恒定 480W），青色曲线代表 AI 智能控制后的实际功率。两条曲线之间的绿色填充区域即为累计节电量。曲线形态精确对应高校课表节奏——上午满课高峰、午休自动归零、下午自然光补偿。</w:t>
      </w:r>
    </w:p>
    <w:p>
      <w:pPr>
        <w:pStyle w:val="Heading3"/>
      </w:pPr>
      <w:r>
        <w:t>模块四：七日趋势与策略分布</w:t>
      </w:r>
    </w:p>
    <w:p>
      <w:r>
        <w:t>柱状图展示周一至周日的每日能耗对比（基线 vs AI 控制），工作日与周末差异清晰可见。饼图展示 AI 控制策略的三类分布——ALL_OFF 自动关灯、ZONE_PARTIAL 分区微亮、ALL_ON 全域点亮，精确反映了一天中的教室使用模式。</w:t>
      </w:r>
    </w:p>
    <w:p>
      <w:pPr>
        <w:pStyle w:val="Heading3"/>
      </w:pPr>
      <w:r>
        <w:t>模块五：场景对比分析</w:t>
      </w:r>
    </w:p>
    <w:p>
      <w:r>
        <w:t>四种照明方案并列对比：全亮基线（年耗 1,881 kWh）、手动控制、传感器方案、AI 智能方案（本项目，年耗仅 527 kWh）。每种方案的日均耗电、年度耗电、年度电费一目了然，AI 方案节能率达 72%。</w:t>
      </w:r>
    </w:p>
    <w:p>
      <w:pPr>
        <w:pStyle w:val="Heading3"/>
      </w:pPr>
      <w:r>
        <w:t>模块六：五章叙事可视化</w:t>
      </w:r>
    </w:p>
    <w:p>
      <w:r>
        <w:t>从"能耗浪费被发现"到"按需点亮"到"AI 策略决策"到"碳账本换算"再到"全校推广潜力"，五个叙事章节串联起完整的节能故事线，每个章节配有专属图表和数据分析。</w:t>
      </w:r>
    </w:p>
    <w:p>
      <w:pPr>
        <w:pStyle w:val="Heading3"/>
      </w:pPr>
      <w:r>
        <w:t>模块七：碳账本六宫格</w:t>
      </w:r>
    </w:p>
    <w:p>
      <w:r>
        <w:t>将累计节电量换算为六项生态指标：CO₂ 减排量、标准煤节约量、等效植树量、节省电费、可供电教室天数、全校年度潜力。每一项指标均标注了国家标准的引用来源（生态环境部、国家林草局、GB/T 2589 等），确保数据有据可查。</w:t>
      </w:r>
    </w:p>
    <w:p>
      <w:pPr>
        <w:pStyle w:val="Heading3"/>
      </w:pPr>
      <w:r>
        <w:t>模块八：中国地图推广潜力</w:t>
      </w:r>
    </w:p>
    <w:p>
      <w:r>
        <w:t>基于 ECharts 和中国 GeoJSON 地理数据，展示 GDP 前十城市的高校分布与节能推广潜力。标注广东省试点城市，Canvas 粒子轨道动画营造"碳流"视觉效果。底部给出全校推广测算——200 间教室接入后年减排 CO₂ 超 100 吨。</w:t>
      </w:r>
    </w:p>
    <w:p/>
    <w:p>
      <w:pPr>
        <w:pStyle w:val="Heading2"/>
      </w:pPr>
      <w:r>
        <w:t>数据来源说明</w:t>
      </w:r>
    </w:p>
    <w:p>
      <w:r>
        <w:t>• 实时气象数据：Open-Meteo 卫星 API（免费、零密钥、10分钟缓存）</w:t>
        <w:br/>
        <w:t>• 碳排放因子：0.6205 kgCO₂/kWh（生态环境部 2025 年公告）</w:t>
        <w:br/>
        <w:t>• 碳汇换算：21.77 kgCO₂/株/年（国家林草局 LY/T 2988-2018）</w:t>
        <w:br/>
        <w:t>• 照明标准：LPD ≤ 9 W/m²（GB 50034-2013）</w:t>
        <w:br/>
        <w:t>• 电价基准：0.55 元/kWh（湖北省发改委）</w:t>
        <w:br/>
        <w:t>• 教室使用率模型：基于《中国高校教室使用率调研报告》</w:t>
        <w:br/>
        <w:t>• 能耗模型：标准教室 480W 全亮基线 / 160W 分区功率</w:t>
      </w:r>
    </w:p>
    <w:sectPr w:rsidR="00FC693F" w:rsidRPr="0006063C" w:rsidSect="00034616">
      <w:pgSz w:w="12240" w:h="15840"/>
      <w:pgMar w:top="1417"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