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2" w:name="content"/>
    <w:bookmarkStart w:id="71" w:name="电力交易软件与ai赋能方案研究报告"/>
    <w:p>
      <w:pPr>
        <w:pStyle w:val="Heading1"/>
      </w:pPr>
      <w:r>
        <w:rPr>
          <w:rFonts w:hint="eastAsia"/>
        </w:rPr>
        <w:t xml:space="preserve">电力交易软件与AI赋能方案研究报告</w:t>
      </w:r>
    </w:p>
    <w:bookmarkStart w:id="29" w:name="执行摘要"/>
    <w:p>
      <w:pPr>
        <w:pStyle w:val="Heading2"/>
      </w:pPr>
      <w:r>
        <w:rPr>
          <w:rFonts w:hint="eastAsia"/>
        </w:rPr>
        <w:t xml:space="preserve">执行摘要</w:t>
      </w:r>
    </w:p>
    <w:p>
      <w:pPr>
        <w:pStyle w:val="FirstParagraph"/>
      </w:pPr>
      <w:r>
        <w:rPr>
          <w:rFonts w:hint="eastAsia"/>
        </w:rPr>
        <w:t xml:space="preserve">在中国</w:t>
      </w:r>
      <w:hyperlink r:id="rId21">
        <w:r>
          <w:rPr>
            <w:rStyle w:val="Hyperlink"/>
          </w:rPr>
          <w:t xml:space="preserve">[1]</w:t>
        </w:r>
      </w:hyperlink>
      <w:r>
        <w:rPr>
          <w:rFonts w:hint="eastAsia"/>
        </w:rPr>
        <w:t xml:space="preserve">电力市场化改革持续深化、现货与辅助服务等交易品种顶层规则逐步齐备、跨经营区交易常态化推进的背景下，电力交易相关的软件需求正在从“交易填报工具”快速升级为“交易+风险+数据+AI决策”的一体化系统能力。全国统一电力市场体系已明确阶段性目标（到2025年初步建成、到2030年基本建成），并在近两年密集发布“市场运行基本规则</w:t>
      </w:r>
      <w:r>
        <w:t xml:space="preserve"> / </w:t>
      </w:r>
      <w:r>
        <w:rPr>
          <w:rFonts w:hint="eastAsia"/>
        </w:rPr>
        <w:t xml:space="preserve">现货基本规则</w:t>
      </w:r>
      <w:r>
        <w:t xml:space="preserve"> / </w:t>
      </w:r>
      <w:r>
        <w:rPr>
          <w:rFonts w:hint="eastAsia"/>
        </w:rPr>
        <w:t xml:space="preserve">辅助服务基本规则</w:t>
      </w:r>
      <w:r>
        <w:t xml:space="preserve"> / </w:t>
      </w:r>
      <w:r>
        <w:rPr>
          <w:rFonts w:hint="eastAsia"/>
        </w:rPr>
        <w:t xml:space="preserve">注册规则</w:t>
      </w:r>
      <w:r>
        <w:t xml:space="preserve"> / </w:t>
      </w:r>
      <w:r>
        <w:rPr>
          <w:rFonts w:hint="eastAsia"/>
        </w:rPr>
        <w:t xml:space="preserve">信息披露规则”等关键制度，为软件产品的合规边界、数据接口与业务流程提供了可落地的规则框架。</w:t>
      </w:r>
      <w:hyperlink r:id="rId22">
        <w:r>
          <w:rPr>
            <w:rStyle w:val="Hyperlink"/>
          </w:rPr>
          <w:t xml:space="preserve">[2]</w:t>
        </w:r>
      </w:hyperlink>
    </w:p>
    <w:p>
      <w:pPr>
        <w:pStyle w:val="BodyText"/>
      </w:pPr>
      <w:r>
        <w:rPr>
          <w:rFonts w:hint="eastAsia"/>
        </w:rPr>
        <w:t xml:space="preserve">对“我想开发一个电力交易软件”的最可行切入建议是：</w:t>
      </w:r>
      <w:r>
        <w:rPr>
          <w:rFonts w:hint="eastAsia"/>
          <w:b/>
          <w:bCs/>
        </w:rPr>
        <w:t xml:space="preserve">优先定位为“市场主体侧（发电/售电/用户/聚合商/储能）交易与风险管理平台（ETRM/OMS）+</w:t>
      </w:r>
      <w:r>
        <w:rPr>
          <w:b/>
          <w:bCs/>
        </w:rPr>
        <w:t xml:space="preserve"> </w:t>
      </w:r>
      <w:r>
        <w:rPr>
          <w:rFonts w:hint="eastAsia"/>
          <w:b/>
          <w:bCs/>
        </w:rPr>
        <w:t xml:space="preserve">AI预测与优化服务”，而非直接建设省级/区域市场运营机构的撮合出清系统</w:t>
      </w:r>
      <w:r>
        <w:rPr>
          <w:rFonts w:hint="eastAsia"/>
        </w:rPr>
        <w:t xml:space="preserve">。原因在于：现货市场采用以集中式出清为主的制度设计，技术支持系统、第三方校验、信息披露、风险防控等要求更贴近“市场运营机构级”工程，进入门槛往往需要与交易机构/调度机构深度合作；而市场主体侧系统可基于披露数据、企业自有数据、合规获取的计量与气象数据形成价值闭环，并能在现货市场加速覆盖的窗口期快速验证商业模式。</w:t>
      </w:r>
      <w:hyperlink r:id="rId23">
        <w:r>
          <w:rPr>
            <w:rStyle w:val="Hyperlink"/>
          </w:rPr>
          <w:t xml:space="preserve">[3]</w:t>
        </w:r>
      </w:hyperlink>
    </w:p>
    <w:p>
      <w:pPr>
        <w:pStyle w:val="BodyText"/>
      </w:pPr>
      <w:r>
        <w:rPr>
          <w:rFonts w:hint="eastAsia"/>
        </w:rPr>
        <w:t xml:space="preserve">电力行业的核心难点集中在：</w:t>
      </w:r>
      <w:r>
        <w:rPr>
          <w:rFonts w:hint="eastAsia"/>
          <w:b/>
          <w:bCs/>
        </w:rPr>
        <w:t xml:space="preserve">规则差异（省网/区域差异与迭代）、数据碎片化与高时效、计量结算与偏差风险、风光波动与系统灵活性约束、以及电力监控与网络安全的高等级要求</w:t>
      </w:r>
      <w:r>
        <w:t xml:space="preserve">。</w:t>
      </w:r>
      <w:hyperlink r:id="rId24">
        <w:r>
          <w:rPr>
            <w:rStyle w:val="Hyperlink"/>
          </w:rPr>
          <w:t xml:space="preserve">[4]</w:t>
        </w:r>
      </w:hyperlink>
      <w:r>
        <w:t xml:space="preserve"> </w:t>
      </w:r>
      <w:r>
        <w:rPr>
          <w:rFonts w:hint="eastAsia"/>
        </w:rPr>
        <w:t xml:space="preserve">AI行业侧的需求与难点则呈“双向驱动”：一方面，AI（尤其模型训练与推理）带来新增用电需求与绿电/绿证采购需求，推动企业更重视电价管理与绿色电力消费证明；另一方面，AI在电力侧的落地面临数据治理、可靠性/可解释性、极端天气与概念漂移、以及安全合规（关基/隐私）等挑战。</w:t>
      </w:r>
      <w:hyperlink r:id="rId25">
        <w:r>
          <w:rPr>
            <w:rStyle w:val="Hyperlink"/>
          </w:rPr>
          <w:t xml:space="preserve">[5]</w:t>
        </w:r>
      </w:hyperlink>
    </w:p>
    <w:p>
      <w:pPr>
        <w:pStyle w:val="BodyText"/>
      </w:pPr>
      <w:r>
        <w:rPr>
          <w:rFonts w:hint="eastAsia"/>
        </w:rPr>
        <w:t xml:space="preserve">本报告给出可执行结论：</w:t>
      </w:r>
      <w:r>
        <w:br/>
      </w:r>
      <w:r>
        <w:t xml:space="preserve">- </w:t>
      </w:r>
      <w:r>
        <w:rPr>
          <w:rFonts w:hint="eastAsia"/>
        </w:rPr>
        <w:t xml:space="preserve">产品路线：</w:t>
      </w:r>
      <w:r>
        <w:rPr>
          <w:rFonts w:hint="eastAsia"/>
          <w:b/>
          <w:bCs/>
        </w:rPr>
        <w:t xml:space="preserve">MVP先做“市场主体侧交易工作台+预测+风险/偏差管理+结算对账”，再扩展“储能/VPP优化、辅助服务与绿电绿证、跨省/跨经营区交易支持”。</w:t>
      </w:r>
      <w:hyperlink r:id="rId26">
        <w:r>
          <w:rPr>
            <w:rStyle w:val="Hyperlink"/>
          </w:rPr>
          <w:t xml:space="preserve">[6]</w:t>
        </w:r>
      </w:hyperlink>
      <w:r>
        <w:br/>
      </w:r>
      <w:r>
        <w:t xml:space="preserve">- </w:t>
      </w:r>
      <w:r>
        <w:rPr>
          <w:rFonts w:hint="eastAsia"/>
        </w:rPr>
        <w:t xml:space="preserve">技术路线：</w:t>
      </w:r>
      <w:r>
        <w:rPr>
          <w:rFonts w:hint="eastAsia"/>
          <w:b/>
          <w:bCs/>
        </w:rPr>
        <w:t xml:space="preserve">数据流（流处理+时序）优先于“纯业务表单”；模型闭环优先于“堆模型”。</w:t>
      </w:r>
      <w:r>
        <w:rPr>
          <w:rFonts w:hint="eastAsia"/>
        </w:rPr>
        <w:t xml:space="preserve">信息披露规则下的数据接口与标准化数据格式将成为可扩展的关键。</w:t>
      </w:r>
      <w:hyperlink r:id="rId27">
        <w:r>
          <w:rPr>
            <w:rStyle w:val="Hyperlink"/>
          </w:rPr>
          <w:t xml:space="preserve">[7]</w:t>
        </w:r>
      </w:hyperlink>
      <w:r>
        <w:br/>
      </w:r>
      <w:r>
        <w:t xml:space="preserve">- </w:t>
      </w:r>
      <w:r>
        <w:rPr>
          <w:rFonts w:hint="eastAsia"/>
        </w:rPr>
        <w:t xml:space="preserve">合规路线：将系统按“涉电力市场数据平台”与“涉电力监控/调度数据（高敏）平台”分区设计，默认不触碰生产控制区数据；如需接入SCADA/EMS，按电力监控系统安全防护规定与等保要求做分区、隔离与认证。</w:t>
      </w:r>
      <w:hyperlink r:id="rId28">
        <w:r>
          <w:rPr>
            <w:rStyle w:val="Hyperlink"/>
          </w:rPr>
          <w:t xml:space="preserve">[8]</w:t>
        </w:r>
      </w:hyperlink>
    </w:p>
    <w:p>
      <w:pPr>
        <w:pStyle w:val="BodyText"/>
      </w:pPr>
      <w:r>
        <w:rPr>
          <w:rFonts w:hint="eastAsia"/>
          <w:b/>
          <w:bCs/>
        </w:rPr>
        <w:t xml:space="preserve">关键假设（未指定信息）与影响</w:t>
      </w:r>
      <w:r>
        <w:br/>
      </w:r>
      <w:r>
        <w:t xml:space="preserve">- </w:t>
      </w:r>
      <w:r>
        <w:rPr>
          <w:rFonts w:hint="eastAsia"/>
        </w:rPr>
        <w:t xml:space="preserve">假设A：你要做的是</w:t>
      </w:r>
      <w:r>
        <w:rPr>
          <w:rFonts w:hint="eastAsia"/>
          <w:b/>
          <w:bCs/>
        </w:rPr>
        <w:t xml:space="preserve">服务市场主体</w:t>
      </w:r>
      <w:r>
        <w:rPr>
          <w:rFonts w:hint="eastAsia"/>
        </w:rPr>
        <w:t xml:space="preserve">的软件（发电企业/售电公司/用户/负荷聚合商/储能/VPP运营商），而不是省级市场运营机构“官方交易出清系统”。影响：产品可采用SaaS与订阅模式，数据以披露数据+企业自有数据为主，合规门槛相对可控。</w:t>
      </w:r>
      <w:hyperlink r:id="rId23">
        <w:r>
          <w:rPr>
            <w:rStyle w:val="Hyperlink"/>
          </w:rPr>
          <w:t xml:space="preserve">[9]</w:t>
        </w:r>
      </w:hyperlink>
      <w:r>
        <w:br/>
      </w:r>
      <w:r>
        <w:t xml:space="preserve">- </w:t>
      </w:r>
      <w:r>
        <w:rPr>
          <w:rFonts w:hint="eastAsia"/>
        </w:rPr>
        <w:t xml:space="preserve">假设B：初期目标省份选择在</w:t>
      </w:r>
      <w:r>
        <w:rPr>
          <w:rFonts w:hint="eastAsia"/>
          <w:b/>
          <w:bCs/>
        </w:rPr>
        <w:t xml:space="preserve">现货连续结算/正式运行进度较快</w:t>
      </w:r>
      <w:r>
        <w:rPr>
          <w:rFonts w:hint="eastAsia"/>
        </w:rPr>
        <w:t xml:space="preserve">地区（如已“转正”或已启动连续结算试运行的省份）。影响：更容易获得真实交易节奏与可验证的降本增效指标。</w:t>
      </w:r>
      <w:hyperlink r:id="rId26">
        <w:r>
          <w:rPr>
            <w:rStyle w:val="Hyperlink"/>
          </w:rPr>
          <w:t xml:space="preserve">[10]</w:t>
        </w:r>
      </w:hyperlink>
      <w:r>
        <w:br/>
      </w:r>
      <w:r>
        <w:t xml:space="preserve">- </w:t>
      </w:r>
      <w:r>
        <w:rPr>
          <w:rFonts w:hint="eastAsia"/>
        </w:rPr>
        <w:t xml:space="preserve">假设C：你可合法获取企业侧计量、合同、负荷、资源出力与部分市场披露数据；不假设可直接访问调度生产控制区数据。影响：AI场景优先做预测/风险与策略仿真；调度级闭环控制需后续以项目制/专线/合规评估推进。</w:t>
      </w:r>
      <w:hyperlink r:id="rId28">
        <w:r>
          <w:rPr>
            <w:rStyle w:val="Hyperlink"/>
          </w:rPr>
          <w:t xml:space="preserve">[11]</w:t>
        </w:r>
      </w:hyperlink>
    </w:p>
    <w:bookmarkEnd w:id="29"/>
    <w:bookmarkStart w:id="41" w:name="行业背景与政策环境"/>
    <w:p>
      <w:pPr>
        <w:pStyle w:val="Heading2"/>
      </w:pPr>
      <w:r>
        <w:rPr>
          <w:rFonts w:hint="eastAsia"/>
        </w:rPr>
        <w:t xml:space="preserve">行业背景与政策环境</w:t>
      </w:r>
    </w:p>
    <w:p>
      <w:pPr>
        <w:pStyle w:val="FirstParagraph"/>
      </w:pPr>
      <w:r>
        <w:rPr>
          <w:rFonts w:hint="eastAsia"/>
        </w:rPr>
        <w:t xml:space="preserve">电力体制改革的政策主线可概括为：以市场机制形成电能量与调节能力的价格信号，推动“中长期+现货+辅助服务”等市场体系协同运行，并逐步走向全国统一大市场框架。2015年新一轮电力体制改革启动后（常被称为“9号文”及配套文件体系），电力交易机构建设、输配电价改革、售电侧改革等逐步落地，奠定了市场化交易扩容的制度基础。</w:t>
      </w:r>
      <w:hyperlink r:id="rId30">
        <w:r>
          <w:rPr>
            <w:rStyle w:val="Hyperlink"/>
          </w:rPr>
          <w:t xml:space="preserve">[12]</w:t>
        </w:r>
      </w:hyperlink>
    </w:p>
    <w:p>
      <w:pPr>
        <w:pStyle w:val="BodyText"/>
      </w:pPr>
      <w:r>
        <w:rPr>
          <w:rFonts w:hint="eastAsia"/>
        </w:rPr>
        <w:t xml:space="preserve">从全国统一电力市场顶层设计看，指导意见明确：到2025年全国统一电力市场体系“初步建成”，到2030年“基本建成”，并提出发挥北京电力交易中心</w:t>
      </w:r>
      <w:hyperlink r:id="rId31">
        <w:r>
          <w:rPr>
            <w:rStyle w:val="Hyperlink"/>
          </w:rPr>
          <w:t xml:space="preserve">[13]</w:t>
        </w:r>
      </w:hyperlink>
      <w:r>
        <w:rPr>
          <w:rFonts w:hint="eastAsia"/>
        </w:rPr>
        <w:t xml:space="preserve">与广州电力交易中心</w:t>
      </w:r>
      <w:hyperlink r:id="rId27">
        <w:r>
          <w:rPr>
            <w:rStyle w:val="Hyperlink"/>
          </w:rPr>
          <w:t xml:space="preserve">[14]</w:t>
        </w:r>
      </w:hyperlink>
      <w:r>
        <w:rPr>
          <w:rFonts w:hint="eastAsia"/>
        </w:rPr>
        <w:t xml:space="preserve">作用、完善跨省跨区交易机制等方向。</w:t>
      </w:r>
      <w:hyperlink r:id="rId22">
        <w:r>
          <w:rPr>
            <w:rStyle w:val="Hyperlink"/>
          </w:rPr>
          <w:t xml:space="preserve">[15]</w:t>
        </w:r>
      </w:hyperlink>
      <w:r>
        <w:t xml:space="preserve"> </w:t>
      </w:r>
      <w:r>
        <w:rPr>
          <w:rFonts w:hint="eastAsia"/>
        </w:rPr>
        <w:t xml:space="preserve">2026年国务院层面进一步以实施意见形式强调要打破区域壁垒、完善跨省跨区交易制度、健全现货/中长期/辅助服务/绿电等市场功能，并提出到2030年全国统一电力市场体系基本建成、市场化交易电量占比目标等。</w:t>
      </w:r>
      <w:hyperlink r:id="rId32">
        <w:r>
          <w:rPr>
            <w:rStyle w:val="Hyperlink"/>
          </w:rPr>
          <w:t xml:space="preserve">[16]</w:t>
        </w:r>
      </w:hyperlink>
    </w:p>
    <w:p>
      <w:pPr>
        <w:pStyle w:val="BodyText"/>
      </w:pPr>
      <w:r>
        <w:rPr>
          <w:rFonts w:hint="eastAsia"/>
        </w:rPr>
        <w:t xml:space="preserve">制度规则的“可工程化程度”在2023—2025年显著提高：</w:t>
      </w:r>
      <w:r>
        <w:br/>
      </w:r>
      <w:r>
        <w:t xml:space="preserve">- </w:t>
      </w:r>
      <w:r>
        <w:rPr>
          <w:rFonts w:hint="eastAsia"/>
        </w:rPr>
        <w:t xml:space="preserve">《电力市场运行基本规则》（2024年第20号令）从部门规章层面强化了市场风险防控、信息披露原则、反市场分割等制度要求。</w:t>
      </w:r>
      <w:hyperlink r:id="rId33">
        <w:r>
          <w:rPr>
            <w:rStyle w:val="Hyperlink"/>
          </w:rPr>
          <w:t xml:space="preserve">[17]</w:t>
        </w:r>
      </w:hyperlink>
      <w:r>
        <w:br/>
      </w:r>
      <w:r>
        <w:t xml:space="preserve">- </w:t>
      </w:r>
      <w:r>
        <w:rPr>
          <w:rFonts w:hint="eastAsia"/>
        </w:rPr>
        <w:t xml:space="preserve">《电力现货市场基本规则（试行）》（2023）明确现货市场定义（日前/日内/实时电能量交易）、市场成员构成（含储能、负荷聚合商、虚拟电厂等新型主体），并提出技术支持系统须满足功能测试、第三方校验、并作为试运行/正式运行启动条件的一部分。</w:t>
      </w:r>
      <w:hyperlink r:id="rId23">
        <w:r>
          <w:rPr>
            <w:rStyle w:val="Hyperlink"/>
          </w:rPr>
          <w:t xml:space="preserve">[18]</w:t>
        </w:r>
      </w:hyperlink>
      <w:r>
        <w:br/>
      </w:r>
      <w:r>
        <w:t xml:space="preserve">- </w:t>
      </w:r>
      <w:r>
        <w:rPr>
          <w:rFonts w:hint="eastAsia"/>
        </w:rPr>
        <w:t xml:space="preserve">《电力辅助服务市场基本规则》（2025）明确辅助服务定义、品种边界与市场成员（含储能、VPP等），并提出“谁提供、谁获利；谁受益、谁承担”的费用与激励原则。</w:t>
      </w:r>
      <w:hyperlink r:id="rId34">
        <w:r>
          <w:rPr>
            <w:rStyle w:val="Hyperlink"/>
          </w:rPr>
          <w:t xml:space="preserve">[19]</w:t>
        </w:r>
      </w:hyperlink>
      <w:r>
        <w:br/>
      </w:r>
      <w:r>
        <w:t xml:space="preserve">- </w:t>
      </w:r>
      <w:r>
        <w:rPr>
          <w:rFonts w:hint="eastAsia"/>
        </w:rPr>
        <w:t xml:space="preserve">《电力市场注册基本规则》（2024）将虚拟电厂、储能等纳入“新型经营主体”范畴，强调交易机构注册受理的公平公开与信息披露。</w:t>
      </w:r>
      <w:hyperlink r:id="rId35">
        <w:r>
          <w:rPr>
            <w:rStyle w:val="Hyperlink"/>
          </w:rPr>
          <w:t xml:space="preserve">[20]</w:t>
        </w:r>
      </w:hyperlink>
      <w:r>
        <w:br/>
      </w:r>
      <w:r>
        <w:t xml:space="preserve">- </w:t>
      </w:r>
      <w:r>
        <w:rPr>
          <w:rFonts w:hint="eastAsia"/>
        </w:rPr>
        <w:t xml:space="preserve">《电力市场信息披露基本规则》（2024）提出建设全国统一的“全市场、全品种、全周期、全主体”信息披露体系，明确由电力交易机构统一负责信息披露实施、建立披露平台及标准化数据格式，并在确保安全前提下提供数据接口服务。</w:t>
      </w:r>
      <w:hyperlink r:id="rId27">
        <w:r>
          <w:rPr>
            <w:rStyle w:val="Hyperlink"/>
          </w:rPr>
          <w:t xml:space="preserve">[21]</w:t>
        </w:r>
      </w:hyperlink>
    </w:p>
    <w:p>
      <w:pPr>
        <w:pStyle w:val="BodyText"/>
      </w:pPr>
      <w:r>
        <w:rPr>
          <w:rFonts w:hint="eastAsia"/>
        </w:rPr>
        <w:t xml:space="preserve">省级现货市场改革进展直接决定了软件需求的“交易节奏复杂度”。2017年启动了首批8个现货试点（南方/蒙西</w:t>
      </w:r>
      <w:hyperlink r:id="rId36">
        <w:r>
          <w:rPr>
            <w:rStyle w:val="Hyperlink"/>
          </w:rPr>
          <w:t xml:space="preserve">[22]</w:t>
        </w:r>
      </w:hyperlink>
      <w:r>
        <w:rPr>
          <w:rFonts w:hint="eastAsia"/>
        </w:rPr>
        <w:t xml:space="preserve">/浙江</w:t>
      </w:r>
      <w:hyperlink r:id="rId23">
        <w:r>
          <w:rPr>
            <w:rStyle w:val="Hyperlink"/>
          </w:rPr>
          <w:t xml:space="preserve">[23]</w:t>
        </w:r>
      </w:hyperlink>
      <w:r>
        <w:rPr>
          <w:rFonts w:hint="eastAsia"/>
        </w:rPr>
        <w:t xml:space="preserve">/山西</w:t>
      </w:r>
      <w:hyperlink r:id="rId37">
        <w:r>
          <w:rPr>
            <w:rStyle w:val="Hyperlink"/>
          </w:rPr>
          <w:t xml:space="preserve">[24]</w:t>
        </w:r>
      </w:hyperlink>
      <w:r>
        <w:rPr>
          <w:rFonts w:hint="eastAsia"/>
        </w:rPr>
        <w:t xml:space="preserve">/山东</w:t>
      </w:r>
      <w:hyperlink r:id="rId34">
        <w:r>
          <w:rPr>
            <w:rStyle w:val="Hyperlink"/>
          </w:rPr>
          <w:t xml:space="preserve">[25]</w:t>
        </w:r>
      </w:hyperlink>
      <w:r>
        <w:rPr>
          <w:rFonts w:hint="eastAsia"/>
        </w:rPr>
        <w:t xml:space="preserve">/福建</w:t>
      </w:r>
      <w:hyperlink r:id="rId38">
        <w:r>
          <w:rPr>
            <w:rStyle w:val="Hyperlink"/>
          </w:rPr>
          <w:t xml:space="preserve">[26]</w:t>
        </w:r>
      </w:hyperlink>
      <w:r>
        <w:rPr>
          <w:rFonts w:hint="eastAsia"/>
        </w:rPr>
        <w:t xml:space="preserve">/四川</w:t>
      </w:r>
      <w:hyperlink r:id="rId39">
        <w:r>
          <w:rPr>
            <w:rStyle w:val="Hyperlink"/>
          </w:rPr>
          <w:t xml:space="preserve">[27]</w:t>
        </w:r>
      </w:hyperlink>
      <w:r>
        <w:rPr>
          <w:rFonts w:hint="eastAsia"/>
        </w:rPr>
        <w:t xml:space="preserve">/甘肃</w:t>
      </w:r>
      <w:hyperlink r:id="rId23">
        <w:r>
          <w:rPr>
            <w:rStyle w:val="Hyperlink"/>
          </w:rPr>
          <w:t xml:space="preserve">[28]</w:t>
        </w:r>
      </w:hyperlink>
      <w:r>
        <w:rPr>
          <w:rFonts w:hint="eastAsia"/>
        </w:rPr>
        <w:t xml:space="preserve">），并在2023—2025年进入“转正”和连续结算加速期。</w:t>
      </w:r>
      <w:hyperlink r:id="rId21">
        <w:r>
          <w:rPr>
            <w:rStyle w:val="Hyperlink"/>
          </w:rPr>
          <w:t xml:space="preserve">[29]</w:t>
        </w:r>
      </w:hyperlink>
      <w:r>
        <w:t xml:space="preserve"> </w:t>
      </w:r>
      <w:r>
        <w:rPr>
          <w:rFonts w:hint="eastAsia"/>
        </w:rPr>
        <w:t xml:space="preserve">2025年国家层面通知进一步明确：湖北</w:t>
      </w:r>
      <w:hyperlink r:id="rId37">
        <w:r>
          <w:rPr>
            <w:rStyle w:val="Hyperlink"/>
          </w:rPr>
          <w:t xml:space="preserve">[30]</w:t>
        </w:r>
      </w:hyperlink>
      <w:r>
        <w:rPr>
          <w:rFonts w:hint="eastAsia"/>
        </w:rPr>
        <w:t xml:space="preserve">应在2025年6月底前、浙江在2025年底前转入正式运行；并推动更多省份在2025年底前启动现货市场连续结算试运行，以实现“基本实现现货市场全覆盖”的目标导向。</w:t>
      </w:r>
      <w:hyperlink r:id="rId26">
        <w:r>
          <w:rPr>
            <w:rStyle w:val="Hyperlink"/>
          </w:rPr>
          <w:t xml:space="preserve">[31]</w:t>
        </w:r>
      </w:hyperlink>
    </w:p>
    <w:p>
      <w:pPr>
        <w:pStyle w:val="BodyText"/>
      </w:pPr>
      <w:r>
        <w:rPr>
          <w:rFonts w:hint="eastAsia"/>
        </w:rPr>
        <w:t xml:space="preserve">跨经营区交易机制的工程化推进，意味着未来“跨国家电网有限公司</w:t>
      </w:r>
      <w:hyperlink r:id="rId28">
        <w:r>
          <w:rPr>
            <w:rStyle w:val="Hyperlink"/>
          </w:rPr>
          <w:t xml:space="preserve">[32]</w:t>
        </w:r>
      </w:hyperlink>
      <w:r>
        <w:rPr>
          <w:rFonts w:hint="eastAsia"/>
        </w:rPr>
        <w:t xml:space="preserve">—中国南方电网有限责任公司</w:t>
      </w:r>
      <w:hyperlink r:id="rId23">
        <w:r>
          <w:rPr>
            <w:rStyle w:val="Hyperlink"/>
          </w:rPr>
          <w:t xml:space="preserve">[33]</w:t>
        </w:r>
      </w:hyperlink>
      <w:r>
        <w:rPr>
          <w:rFonts w:hint="eastAsia"/>
        </w:rPr>
        <w:t xml:space="preserve">经营区”的平台互联互通、数据共享与联合结算将成为新常态。机制方案明确由两大交易中心与调度控制中心联合组织、联合发布结果、联合结算，并强调交易平台互联互通。</w:t>
      </w:r>
      <w:hyperlink r:id="rId40">
        <w:r>
          <w:rPr>
            <w:rStyle w:val="Hyperlink"/>
          </w:rPr>
          <w:t xml:space="preserve">[34]</w:t>
        </w:r>
      </w:hyperlink>
    </w:p>
    <w:p>
      <w:pPr>
        <w:pStyle w:val="BodyText"/>
      </w:pPr>
      <w:r>
        <w:rPr>
          <w:rFonts w:hint="eastAsia"/>
        </w:rPr>
        <w:t xml:space="preserve">结论与可执行建议：将产品“制度适配层”作为核心竞争力建设，建立“规则版本化（Rule-as-Code）+省份插件化（Market</w:t>
      </w:r>
      <w:r>
        <w:t xml:space="preserve"> </w:t>
      </w:r>
      <w:r>
        <w:rPr>
          <w:rFonts w:hint="eastAsia"/>
        </w:rPr>
        <w:t xml:space="preserve">Adapter）”能力，以应对各省细则差异与频繁迭代；并优先选择现货连续结算成熟地区开展试点，从一开始就把信息披露、第三方校验与风险防控流程体现在产品设计中。</w:t>
      </w:r>
      <w:hyperlink r:id="rId24">
        <w:r>
          <w:rPr>
            <w:rStyle w:val="Hyperlink"/>
          </w:rPr>
          <w:t xml:space="preserve">[35]</w:t>
        </w:r>
      </w:hyperlink>
    </w:p>
    <w:bookmarkEnd w:id="41"/>
    <w:bookmarkStart w:id="45" w:name="市场需求"/>
    <w:p>
      <w:pPr>
        <w:pStyle w:val="Heading2"/>
      </w:pPr>
      <w:r>
        <w:rPr>
          <w:rFonts w:hint="eastAsia"/>
        </w:rPr>
        <w:t xml:space="preserve">市场需求</w:t>
      </w:r>
    </w:p>
    <w:p>
      <w:pPr>
        <w:pStyle w:val="FirstParagraph"/>
      </w:pPr>
      <w:r>
        <w:rPr>
          <w:rFonts w:hint="eastAsia"/>
        </w:rPr>
        <w:t xml:space="preserve">电力交易软件的市场需求并非单一“下单撮合”，而是围绕“交易—执行—计量—结算—偏差—风险—合规—复盘”的全链路，叠加新能源与灵活性资源带来的预测与优化需求。现货市场规则明确，经营主体范围已扩展至分布式发电、负荷聚合商、储能与虚拟电厂等；同时现货市场要通过时空价格信号提升系统调节能力并促进可再生能源消纳，这直接拉高对预测与优化软件的刚性需求。</w:t>
      </w:r>
      <w:hyperlink r:id="rId23">
        <w:r>
          <w:rPr>
            <w:rStyle w:val="Hyperlink"/>
          </w:rPr>
          <w:t xml:space="preserve">[18]</w:t>
        </w:r>
      </w:hyperlink>
    </w:p>
    <w:p>
      <w:pPr>
        <w:pStyle w:val="BodyText"/>
      </w:pPr>
      <w:r>
        <w:rPr>
          <w:rFonts w:hint="eastAsia"/>
        </w:rPr>
        <w:t xml:space="preserve">发电侧需求重点在于：</w:t>
      </w:r>
      <w:r>
        <w:br/>
      </w:r>
      <w:r>
        <w:t xml:space="preserve">- </w:t>
      </w:r>
      <w:r>
        <w:rPr>
          <w:rFonts w:hint="eastAsia"/>
        </w:rPr>
        <w:t xml:space="preserve">报量报价与出清价格不确定性下的收益管理：现货价格信号与偏差结算逻辑要求企业具备更精细的出力预测、边际成本曲线管理与报价策略回测能力。</w:t>
      </w:r>
      <w:hyperlink r:id="rId23">
        <w:r>
          <w:rPr>
            <w:rStyle w:val="Hyperlink"/>
          </w:rPr>
          <w:t xml:space="preserve">[36]</w:t>
        </w:r>
      </w:hyperlink>
      <w:r>
        <w:br/>
      </w:r>
      <w:r>
        <w:t xml:space="preserve">- </w:t>
      </w:r>
      <w:r>
        <w:rPr>
          <w:rFonts w:hint="eastAsia"/>
        </w:rPr>
        <w:t xml:space="preserve">新能源参与市场的机制适配：规则明确要稳妥推动新能源参与，设计适应新能源特性的市场机制，并与保障性政策衔接；对软件而言意味着需要兼顾“保障利用小时/固定电价”与“市场化电量”两类资产与合同的组合管理。</w:t>
      </w:r>
      <w:hyperlink r:id="rId23">
        <w:r>
          <w:rPr>
            <w:rStyle w:val="Hyperlink"/>
          </w:rPr>
          <w:t xml:space="preserve">[37]</w:t>
        </w:r>
      </w:hyperlink>
    </w:p>
    <w:p>
      <w:pPr>
        <w:pStyle w:val="BodyText"/>
      </w:pPr>
      <w:r>
        <w:rPr>
          <w:rFonts w:hint="eastAsia"/>
        </w:rPr>
        <w:t xml:space="preserve">售电侧（零售市场）需求主要是：</w:t>
      </w:r>
      <w:r>
        <w:br/>
      </w:r>
      <w:r>
        <w:t xml:space="preserve">- </w:t>
      </w:r>
      <w:r>
        <w:rPr>
          <w:rFonts w:hint="eastAsia"/>
        </w:rPr>
        <w:t xml:space="preserve">批发—零售价差与风险管理：现货与中长期多个时间尺度叠加后，售电公司需要统一的合同台账、负荷画像、偏差/考核测算与对冲策略工具。现货规则也明确要推动零售市场建设并畅通批发、零售价格传导。</w:t>
      </w:r>
      <w:hyperlink r:id="rId23">
        <w:r>
          <w:rPr>
            <w:rStyle w:val="Hyperlink"/>
          </w:rPr>
          <w:t xml:space="preserve">[38]</w:t>
        </w:r>
      </w:hyperlink>
      <w:r>
        <w:br/>
      </w:r>
      <w:r>
        <w:t xml:space="preserve">- </w:t>
      </w:r>
      <w:r>
        <w:rPr>
          <w:rFonts w:hint="eastAsia"/>
        </w:rPr>
        <w:t xml:space="preserve">信息披露与用户数据保密：现货规则对售电公司提出获取代理零售用户负荷信息同时承担用户信息保密义务的要求，信息披露规则也强化了信息分类与保密、封存机制。</w:t>
      </w:r>
      <w:hyperlink r:id="rId23">
        <w:r>
          <w:rPr>
            <w:rStyle w:val="Hyperlink"/>
          </w:rPr>
          <w:t xml:space="preserve">[36]</w:t>
        </w:r>
      </w:hyperlink>
    </w:p>
    <w:p>
      <w:pPr>
        <w:pStyle w:val="BodyText"/>
      </w:pPr>
      <w:r>
        <w:rPr>
          <w:rFonts w:hint="eastAsia"/>
        </w:rPr>
        <w:t xml:space="preserve">输配与电网相关需求（对外部软件更偏“接口与协同”）是：</w:t>
      </w:r>
      <w:r>
        <w:br/>
      </w:r>
      <w:r>
        <w:t xml:space="preserve">- </w:t>
      </w:r>
      <w:r>
        <w:rPr>
          <w:rFonts w:hint="eastAsia"/>
        </w:rPr>
        <w:t xml:space="preserve">交易执行与安全校核、结算协同：跨经营区交易方案明确不同交易类型需要设计交易组织、安全校核、交易执行与结算等流程，并实现平台间信息实时共享与共同披露。</w:t>
      </w:r>
      <w:hyperlink r:id="rId40">
        <w:r>
          <w:rPr>
            <w:rStyle w:val="Hyperlink"/>
          </w:rPr>
          <w:t xml:space="preserve">[34]</w:t>
        </w:r>
      </w:hyperlink>
      <w:r>
        <w:br/>
      </w:r>
      <w:r>
        <w:t xml:space="preserve">- </w:t>
      </w:r>
      <w:r>
        <w:rPr>
          <w:rFonts w:hint="eastAsia"/>
        </w:rPr>
        <w:t xml:space="preserve">市场运营机构的风险监控责任：市场运行基本规则强调市场运营机构需履行市场监控与风险防控责任。对软件企业而言，若参与运营机构级系统建设，需要在架构层面满足更高的审计与监管要求。</w:t>
      </w:r>
      <w:hyperlink r:id="rId24">
        <w:r>
          <w:rPr>
            <w:rStyle w:val="Hyperlink"/>
          </w:rPr>
          <w:t xml:space="preserve">[39]</w:t>
        </w:r>
      </w:hyperlink>
    </w:p>
    <w:p>
      <w:pPr>
        <w:pStyle w:val="BodyText"/>
      </w:pPr>
      <w:r>
        <w:rPr>
          <w:rFonts w:hint="eastAsia"/>
        </w:rPr>
        <w:t xml:space="preserve">用户侧与需求响应需求在近年明显增强：</w:t>
      </w:r>
      <w:r>
        <w:br/>
      </w:r>
      <w:r>
        <w:t xml:space="preserve">- </w:t>
      </w:r>
      <w:r>
        <w:rPr>
          <w:rFonts w:hint="eastAsia"/>
        </w:rPr>
        <w:t xml:space="preserve">负荷管理办法将需求响应定义为应对供需紧张与新能源消纳困难，通过经济激励引导用户自愿调整用电行为，实现削峰填谷、提高系统灵活性；并提出各地建立负荷管理中心、新型负荷管理系统建设等。</w:t>
      </w:r>
      <w:hyperlink r:id="rId42">
        <w:r>
          <w:rPr>
            <w:rStyle w:val="Hyperlink"/>
          </w:rPr>
          <w:t xml:space="preserve">[40]</w:t>
        </w:r>
      </w:hyperlink>
      <w:r>
        <w:br/>
      </w:r>
      <w:r>
        <w:t xml:space="preserve">- </w:t>
      </w:r>
      <w:r>
        <w:rPr>
          <w:rFonts w:hint="eastAsia"/>
        </w:rPr>
        <w:t xml:space="preserve">需求侧管理办法（2023）将需求响应、绿色用电、智能用电等纳入用电侧综合措施框架，强化“用电环节优化配置电力资源”的政策空间。</w:t>
      </w:r>
      <w:hyperlink r:id="rId43">
        <w:r>
          <w:rPr>
            <w:rStyle w:val="Hyperlink"/>
          </w:rPr>
          <w:t xml:space="preserve">[41]</w:t>
        </w:r>
      </w:hyperlink>
    </w:p>
    <w:p>
      <w:pPr>
        <w:pStyle w:val="BodyText"/>
      </w:pPr>
      <w:r>
        <w:rPr>
          <w:rFonts w:hint="eastAsia"/>
        </w:rPr>
        <w:t xml:space="preserve">可再生并网、储能与灵活性资源需求是交易软件的增量核心：</w:t>
      </w:r>
      <w:r>
        <w:br/>
      </w:r>
      <w:r>
        <w:t xml:space="preserve">- </w:t>
      </w:r>
      <w:r>
        <w:rPr>
          <w:rFonts w:hint="eastAsia"/>
        </w:rPr>
        <w:t xml:space="preserve">储能与新型主体在现货、辅助服务中有明确市场定位。辅助服务规则将储能、虚拟电厂等纳入经营主体范围并强调“可观、可测、可调、可控”能力要求。</w:t>
      </w:r>
      <w:hyperlink r:id="rId34">
        <w:r>
          <w:rPr>
            <w:rStyle w:val="Hyperlink"/>
          </w:rPr>
          <w:t xml:space="preserve">[42]</w:t>
        </w:r>
      </w:hyperlink>
      <w:r>
        <w:br/>
      </w:r>
      <w:r>
        <w:t xml:space="preserve">- </w:t>
      </w:r>
      <w:r>
        <w:rPr>
          <w:rFonts w:hint="eastAsia"/>
        </w:rPr>
        <w:t xml:space="preserve">2024年全国层面总结显示：多地通过容量租赁、现货、辅助服务等探索新型储能商业模式；并指出若干省份现货市场转入正式运行/连续结算试运行，推动独立储能以“报量不报价/报量报价”等方式参与现货市场，通过价格信号引导调节。</w:t>
      </w:r>
      <w:hyperlink r:id="rId44">
        <w:r>
          <w:rPr>
            <w:rStyle w:val="Hyperlink"/>
          </w:rPr>
          <w:t xml:space="preserve">[43]</w:t>
        </w:r>
      </w:hyperlink>
    </w:p>
    <w:p>
      <w:pPr>
        <w:pStyle w:val="BodyText"/>
      </w:pPr>
      <w:r>
        <w:rPr>
          <w:rFonts w:hint="eastAsia"/>
        </w:rPr>
        <w:t xml:space="preserve">绿电与绿证交易催生“环境属性管理”软件需求：绿证制度明确“1个绿证对应1000度可再生能源电量”，并强调绿证是绿色电量环境属性的唯一证明；政策也明确三家电网公司依托相应交易中心开展绿电交易平台。</w:t>
      </w:r>
      <w:hyperlink r:id="rId38">
        <w:r>
          <w:rPr>
            <w:rStyle w:val="Hyperlink"/>
          </w:rPr>
          <w:t xml:space="preserve">[44]</w:t>
        </w:r>
      </w:hyperlink>
      <w:r>
        <w:t xml:space="preserve"> </w:t>
      </w:r>
      <w:r>
        <w:rPr>
          <w:rFonts w:hint="eastAsia"/>
        </w:rPr>
        <w:t xml:space="preserve">这要求软件能把“电能量合同—绿证划转—消费证明—审计追踪”做成可追溯链条。</w:t>
      </w:r>
    </w:p>
    <w:p>
      <w:pPr>
        <w:pStyle w:val="BodyText"/>
      </w:pPr>
      <w:r>
        <w:rPr>
          <w:rFonts w:hint="eastAsia"/>
        </w:rPr>
        <w:t xml:space="preserve">结论与可执行建议：用“角色×品种×周期”三维拆解需求（发电/售电/用户/聚合商/储能</w:t>
      </w:r>
      <w:r>
        <w:t xml:space="preserve"> × </w:t>
      </w:r>
      <w:r>
        <w:rPr>
          <w:rFonts w:hint="eastAsia"/>
        </w:rPr>
        <w:t xml:space="preserve">中长期/现货/辅助服务/绿电绿证</w:t>
      </w:r>
      <w:r>
        <w:t xml:space="preserve"> × </w:t>
      </w:r>
      <w:r>
        <w:rPr>
          <w:rFonts w:hint="eastAsia"/>
        </w:rPr>
        <w:t xml:space="preserve">年-月-日-实时），按现货覆盖加速的节奏优先满足“高频、可量化ROI”的场景：偏差测算、结算对账、报价辅助与压力测试、需求响应执行与评估。</w:t>
      </w:r>
      <w:hyperlink r:id="rId26">
        <w:r>
          <w:rPr>
            <w:rStyle w:val="Hyperlink"/>
          </w:rPr>
          <w:t xml:space="preserve">[45]</w:t>
        </w:r>
      </w:hyperlink>
    </w:p>
    <w:bookmarkEnd w:id="45"/>
    <w:bookmarkStart w:id="51" w:name="ai需求与应用场景"/>
    <w:p>
      <w:pPr>
        <w:pStyle w:val="Heading2"/>
      </w:pPr>
      <w:r>
        <w:rPr>
          <w:rFonts w:hint="eastAsia"/>
        </w:rPr>
        <w:t xml:space="preserve">AI需求与应用场景</w:t>
      </w:r>
    </w:p>
    <w:p>
      <w:pPr>
        <w:pStyle w:val="FirstParagraph"/>
      </w:pPr>
      <w:r>
        <w:rPr>
          <w:rFonts w:hint="eastAsia"/>
        </w:rPr>
        <w:t xml:space="preserve">电力交易软件中的AI并不是“附加功能”，而更像是应对新能源波动、现货价格波动与多品种耦合的必要能力。现货市场建设目标强调形成体现时间与空间特性、反映供需变化的价格信号，并促进可再生能源消纳、提升系统调节能力；这天然要求预测、优化与风险控制算法成为业务闭环的一部分。</w:t>
      </w:r>
      <w:hyperlink r:id="rId23">
        <w:r>
          <w:rPr>
            <w:rStyle w:val="Hyperlink"/>
          </w:rPr>
          <w:t xml:space="preserve">[46]</w:t>
        </w:r>
      </w:hyperlink>
    </w:p>
    <w:p>
      <w:pPr>
        <w:pStyle w:val="BodyText"/>
      </w:pPr>
      <w:r>
        <w:rPr>
          <w:rFonts w:hint="eastAsia"/>
        </w:rPr>
        <w:t xml:space="preserve">面向电力行业的AI高价值场景可归纳为八类：</w:t>
      </w:r>
      <w:r>
        <w:br/>
      </w:r>
      <w:r>
        <w:t xml:space="preserve">- </w:t>
      </w:r>
      <w:r>
        <w:rPr>
          <w:rFonts w:hint="eastAsia"/>
        </w:rPr>
        <w:t xml:space="preserve">预测：负荷预测、价格预测、风光出力预测、用户响应概率预测。负荷与风电预测领域的深度学习综述研究普遍指出：模型正朝更强的时空建模、在线更新与鲁棒性方向发展，以应对高维特征与非平稳性。</w:t>
      </w:r>
      <w:hyperlink r:id="rId46">
        <w:r>
          <w:rPr>
            <w:rStyle w:val="Hyperlink"/>
          </w:rPr>
          <w:t xml:space="preserve">[47]</w:t>
        </w:r>
      </w:hyperlink>
      <w:r>
        <w:br/>
      </w:r>
      <w:r>
        <w:t xml:space="preserve">- </w:t>
      </w:r>
      <w:r>
        <w:rPr>
          <w:rFonts w:hint="eastAsia"/>
        </w:rPr>
        <w:t xml:space="preserve">优化：报价策略优化、组合对冲、储能充放电/容量租赁策略、VPP聚合资源调度（常与鲁棒优化、随机优化、强化学习等结合）。</w:t>
      </w:r>
      <w:hyperlink r:id="rId47">
        <w:r>
          <w:rPr>
            <w:rStyle w:val="Hyperlink"/>
          </w:rPr>
          <w:t xml:space="preserve">[48]</w:t>
        </w:r>
      </w:hyperlink>
      <w:r>
        <w:br/>
      </w:r>
      <w:r>
        <w:t xml:space="preserve">- </w:t>
      </w:r>
      <w:r>
        <w:rPr>
          <w:rFonts w:hint="eastAsia"/>
        </w:rPr>
        <w:t xml:space="preserve">异常检测：计量异常、数据漂移、设备故障先兆、交易行为异常（合规角度可用于内部风控与审计）。信息披露规则强调信息披露真实性与封存管理，异常检测可作为“内部控制”的技术抓手。</w:t>
      </w:r>
      <w:hyperlink r:id="rId27">
        <w:r>
          <w:rPr>
            <w:rStyle w:val="Hyperlink"/>
          </w:rPr>
          <w:t xml:space="preserve">[7]</w:t>
        </w:r>
      </w:hyperlink>
      <w:r>
        <w:br/>
      </w:r>
      <w:r>
        <w:t xml:space="preserve">- </w:t>
      </w:r>
      <w:r>
        <w:rPr>
          <w:rFonts w:hint="eastAsia"/>
        </w:rPr>
        <w:t xml:space="preserve">交易撮合与策略仿真：在中国现货集中出清模式下，AI更现实的落点是“出清/结算仿真引擎+策略回测”，用于评估报价与偏差风险，而非替代官方出清。</w:t>
      </w:r>
      <w:hyperlink r:id="rId23">
        <w:r>
          <w:rPr>
            <w:rStyle w:val="Hyperlink"/>
          </w:rPr>
          <w:t xml:space="preserve">[18]</w:t>
        </w:r>
      </w:hyperlink>
      <w:r>
        <w:br/>
      </w:r>
      <w:r>
        <w:t xml:space="preserve">- </w:t>
      </w:r>
      <w:r>
        <w:rPr>
          <w:rFonts w:hint="eastAsia"/>
        </w:rPr>
        <w:t xml:space="preserve">虚拟电厂与需求响应：政策鼓励虚拟电厂公平参与各类电力市场或需求响应，并明确满足注册规则要求后可独立主体参与交易；负荷管理办法也给出了需求响应执行与评估流程（邀约确认、效果评估等），为AI驱动的“响应预测—执行优化—效果评估”闭环提供制度接口。</w:t>
      </w:r>
      <w:hyperlink r:id="rId48">
        <w:r>
          <w:rPr>
            <w:rStyle w:val="Hyperlink"/>
          </w:rPr>
          <w:t xml:space="preserve">[49]</w:t>
        </w:r>
      </w:hyperlink>
      <w:r>
        <w:br/>
      </w:r>
      <w:r>
        <w:t xml:space="preserve">- </w:t>
      </w:r>
      <w:r>
        <w:rPr>
          <w:rFonts w:hint="eastAsia"/>
        </w:rPr>
        <w:t xml:space="preserve">能量管理（EMS）与源网荷储协同：储能发展报告显示多地推动储能以不同方式参与现货与辅助服务，通过价格信号引导调节；这类场景需要把“电价结构+约束（功率/容量/寿命）+用户需求”统一建模。</w:t>
      </w:r>
      <w:hyperlink r:id="rId44">
        <w:r>
          <w:rPr>
            <w:rStyle w:val="Hyperlink"/>
          </w:rPr>
          <w:t xml:space="preserve">[50]</w:t>
        </w:r>
      </w:hyperlink>
      <w:r>
        <w:br/>
      </w:r>
      <w:r>
        <w:t xml:space="preserve">- </w:t>
      </w:r>
      <w:r>
        <w:rPr>
          <w:rFonts w:hint="eastAsia"/>
        </w:rPr>
        <w:t xml:space="preserve">市场情报与自然语言：面向规则解读、公告解析、交易复盘的“文本智能”需求上升，电力系统预测技术的研究也开始讨论大语言模型在预测与辅助决策中的潜力，但对一致性与可验证性提出更高要求。</w:t>
      </w:r>
      <w:hyperlink r:id="rId49">
        <w:r>
          <w:rPr>
            <w:rStyle w:val="Hyperlink"/>
          </w:rPr>
          <w:t xml:space="preserve">[51]</w:t>
        </w:r>
      </w:hyperlink>
      <w:r>
        <w:br/>
      </w:r>
      <w:r>
        <w:t xml:space="preserve">- </w:t>
      </w:r>
      <w:r>
        <w:rPr>
          <w:rFonts w:hint="eastAsia"/>
        </w:rPr>
        <w:t xml:space="preserve">可信与可解释AI：电力交易的高风险属性（资金、保供、监管）决定模型需要可解释、可审计与可回滚；市场运行基本规则强调风险防控机制，信息披露也强调真实性与责任，这对AI治理提出明确约束。</w:t>
      </w:r>
      <w:hyperlink r:id="rId24">
        <w:r>
          <w:rPr>
            <w:rStyle w:val="Hyperlink"/>
          </w:rPr>
          <w:t xml:space="preserve">[52]</w:t>
        </w:r>
      </w:hyperlink>
    </w:p>
    <w:p>
      <w:pPr>
        <w:pStyle w:val="BodyText"/>
      </w:pPr>
      <w:r>
        <w:rPr>
          <w:rFonts w:hint="eastAsia"/>
        </w:rPr>
        <w:t xml:space="preserve">AI行业（电力作为被服务对象）的需求与难点同样会影响你的产品定位：</w:t>
      </w:r>
      <w:r>
        <w:br/>
      </w:r>
      <w:r>
        <w:t xml:space="preserve">- </w:t>
      </w:r>
      <w:r>
        <w:rPr>
          <w:rFonts w:hint="eastAsia"/>
        </w:rPr>
        <w:t xml:space="preserve">电力需求侧：国际能源署</w:t>
      </w:r>
      <w:hyperlink r:id="rId32">
        <w:r>
          <w:rPr>
            <w:rStyle w:val="Hyperlink"/>
          </w:rPr>
          <w:t xml:space="preserve">[53]</w:t>
        </w:r>
      </w:hyperlink>
      <w:r>
        <w:rPr>
          <w:rFonts w:hint="eastAsia"/>
        </w:rPr>
        <w:t xml:space="preserve">关于“能源与AI”的报告强调AI相关用电需求可能在未来十年显著增长，数据中心与AI负载将成为电力系统规划与电价管理的重要变量。</w:t>
      </w:r>
      <w:hyperlink r:id="rId50">
        <w:r>
          <w:rPr>
            <w:rStyle w:val="Hyperlink"/>
          </w:rPr>
          <w:t xml:space="preserve">[54]</w:t>
        </w:r>
      </w:hyperlink>
      <w:r>
        <w:br/>
      </w:r>
      <w:r>
        <w:t xml:space="preserve">- </w:t>
      </w:r>
      <w:r>
        <w:rPr>
          <w:rFonts w:hint="eastAsia"/>
        </w:rPr>
        <w:t xml:space="preserve">绿电与合规：绿证制度对绿色属性的唯一性与1000度对应关系提供了可量化的“绿色电力消费证明”工具，AI企业购买绿电/绿证的管理将产生对“可追溯台账+审计报表+交易执行”的软件需求。</w:t>
      </w:r>
      <w:hyperlink r:id="rId38">
        <w:r>
          <w:rPr>
            <w:rStyle w:val="Hyperlink"/>
          </w:rPr>
          <w:t xml:space="preserve">[55]</w:t>
        </w:r>
      </w:hyperlink>
    </w:p>
    <w:p>
      <w:pPr>
        <w:pStyle w:val="BodyText"/>
      </w:pPr>
      <w:r>
        <w:rPr>
          <w:rFonts w:hint="eastAsia"/>
        </w:rPr>
        <w:t xml:space="preserve">结论与可执行建议：AI能力要与交易闭环强绑定，优先交付“可计量收益”的模型：短期负荷/价格/风光预测（用于报价与偏差风险）、储能/VPP调度优化（用于套利与辅助服务收益）、以及结算对账与异常检测（用于降低损失与合规风险）。同时建立模型治理：数据版本、特征版本、模型版本、解释与回滚机制一体化上线。</w:t>
      </w:r>
      <w:hyperlink r:id="rId24">
        <w:r>
          <w:rPr>
            <w:rStyle w:val="Hyperlink"/>
          </w:rPr>
          <w:t xml:space="preserve">[56]</w:t>
        </w:r>
      </w:hyperlink>
    </w:p>
    <w:bookmarkEnd w:id="51"/>
    <w:bookmarkStart w:id="53" w:name="数据需求与来源"/>
    <w:p>
      <w:pPr>
        <w:pStyle w:val="Heading2"/>
      </w:pPr>
      <w:r>
        <w:rPr>
          <w:rFonts w:hint="eastAsia"/>
        </w:rPr>
        <w:t xml:space="preserve">数据需求与来源</w:t>
      </w:r>
    </w:p>
    <w:p>
      <w:pPr>
        <w:pStyle w:val="FirstParagraph"/>
      </w:pPr>
      <w:r>
        <w:rPr>
          <w:rFonts w:hint="eastAsia"/>
        </w:rPr>
        <w:t xml:space="preserve">电力交易软件的数据体系应按“交易域数据</w:t>
      </w:r>
      <w:r>
        <w:t xml:space="preserve"> + </w:t>
      </w:r>
      <w:r>
        <w:rPr>
          <w:rFonts w:hint="eastAsia"/>
        </w:rPr>
        <w:t xml:space="preserve">物理运行域数据</w:t>
      </w:r>
      <w:r>
        <w:t xml:space="preserve"> + </w:t>
      </w:r>
      <w:r>
        <w:rPr>
          <w:rFonts w:hint="eastAsia"/>
        </w:rPr>
        <w:t xml:space="preserve">外部环境数据</w:t>
      </w:r>
      <w:r>
        <w:t xml:space="preserve"> + </w:t>
      </w:r>
      <w:r>
        <w:rPr>
          <w:rFonts w:hint="eastAsia"/>
        </w:rPr>
        <w:t xml:space="preserve">资产与运维数据”分层，并明确每层的合规边界与时效要求。现货规则明确电网企业与调度机构需要为市场提供支撑交易与服务所需的数据并保证数据交互准确及时，同时强调按国家网络安全有关规定进行数据交互；信息披露规则则从全国统一层面要求交易机构建立披露平台、标准化格式并在保障信息安全前提下提供数据接口。</w:t>
      </w:r>
      <w:hyperlink r:id="rId23">
        <w:r>
          <w:rPr>
            <w:rStyle w:val="Hyperlink"/>
          </w:rPr>
          <w:t xml:space="preserve">[36]</w:t>
        </w:r>
      </w:hyperlink>
    </w:p>
    <w:p>
      <w:pPr>
        <w:pStyle w:val="BodyText"/>
      </w:pPr>
      <w:r>
        <w:rPr>
          <w:rFonts w:hint="eastAsia"/>
        </w:rPr>
        <w:t xml:space="preserve">关键数据需求与可获得性（从易到难）可概括为：</w:t>
      </w:r>
      <w:r>
        <w:br/>
      </w:r>
      <w:r>
        <w:t xml:space="preserve">- </w:t>
      </w:r>
      <w:r>
        <w:rPr>
          <w:rFonts w:hint="eastAsia"/>
        </w:rPr>
        <w:t xml:space="preserve">市场与交易数据：市场公告、交易结果、分时价格、出清电量、结算参数、信用与信息披露条目。信息披露规则将信息分为公众/公开/特定三类，并以附表方式列出大量披露条目，且要求统一格式与时限，这为“标准化市场数据层”提供了制度基础。</w:t>
      </w:r>
      <w:hyperlink r:id="rId27">
        <w:r>
          <w:rPr>
            <w:rStyle w:val="Hyperlink"/>
          </w:rPr>
          <w:t xml:space="preserve">[7]</w:t>
        </w:r>
      </w:hyperlink>
      <w:r>
        <w:br/>
      </w:r>
      <w:r>
        <w:t xml:space="preserve">- </w:t>
      </w:r>
      <w:r>
        <w:rPr>
          <w:rFonts w:hint="eastAsia"/>
        </w:rPr>
        <w:t xml:space="preserve">计量与结算数据：关口计量、电费结算、偏差电量、费用分摊。国家层面已发布计量结算基本规则以解决计量管理不规范、单位不统一、流程衔接不顺等问题，并指出随着煤电、新能源、工商业用户全面参与市场，计量结算统一规范的必要性上升。</w:t>
      </w:r>
      <w:hyperlink r:id="rId37">
        <w:r>
          <w:rPr>
            <w:rStyle w:val="Hyperlink"/>
          </w:rPr>
          <w:t xml:space="preserve">[57]</w:t>
        </w:r>
      </w:hyperlink>
      <w:r>
        <w:br/>
      </w:r>
      <w:r>
        <w:t xml:space="preserve">- </w:t>
      </w:r>
      <w:r>
        <w:rPr>
          <w:rFonts w:hint="eastAsia"/>
        </w:rPr>
        <w:t xml:space="preserve">负荷与需求响应数据：用户侧负荷曲线、可中断/可调负荷容量、响应执行记录与效果评估。负荷管理办法明确需求响应定义与执行评估职责分工，为数据字段与评估口径提供规则锚点。</w:t>
      </w:r>
      <w:hyperlink r:id="rId42">
        <w:r>
          <w:rPr>
            <w:rStyle w:val="Hyperlink"/>
          </w:rPr>
          <w:t xml:space="preserve">[40]</w:t>
        </w:r>
      </w:hyperlink>
      <w:r>
        <w:br/>
      </w:r>
      <w:r>
        <w:t xml:space="preserve">- </w:t>
      </w:r>
      <w:r>
        <w:rPr>
          <w:rFonts w:hint="eastAsia"/>
        </w:rPr>
        <w:t xml:space="preserve">气象与环境数据：风速、辐照度、温度湿度、极端天气预警、天气预报（NWP）。风光预测与负荷预测的学术综述普遍显示，将NWP与深度学习结合是提升短期预测的重要路径。</w:t>
      </w:r>
      <w:hyperlink r:id="rId52">
        <w:r>
          <w:rPr>
            <w:rStyle w:val="Hyperlink"/>
          </w:rPr>
          <w:t xml:space="preserve">[58]</w:t>
        </w:r>
      </w:hyperlink>
      <w:r>
        <w:br/>
      </w:r>
      <w:r>
        <w:t xml:space="preserve">- </w:t>
      </w:r>
      <w:r>
        <w:rPr>
          <w:rFonts w:hint="eastAsia"/>
        </w:rPr>
        <w:t xml:space="preserve">实时SCADA/EMS/调度数据：机组出力、AGC指令、设备状态、网络约束、潮流等。该层数据通常与电力监控系统/调度数据网相关，受更严格的安全分区、隔离与认证要求约束。电力监控系统安全防护规定要求落实等级保护制度并强调“安全分区、网络专用、横向隔离、纵向认证”，并在2024年修订版中进一步强化了安全要求与适用范围。</w:t>
      </w:r>
      <w:hyperlink r:id="rId28">
        <w:r>
          <w:rPr>
            <w:rStyle w:val="Hyperlink"/>
          </w:rPr>
          <w:t xml:space="preserve">[59]</w:t>
        </w:r>
      </w:hyperlink>
      <w:r>
        <w:br/>
      </w:r>
      <w:r>
        <w:t xml:space="preserve">- </w:t>
      </w:r>
      <w:r>
        <w:rPr>
          <w:rFonts w:hint="eastAsia"/>
        </w:rPr>
        <w:t xml:space="preserve">资产运维数据：设备台账、检修计划、故障记录、健康状态。现货规则要求发电企业提供检修计划、实测参数、预测运行信息等，提示“运行—交易”数据协同的重要性。</w:t>
      </w:r>
      <w:hyperlink r:id="rId23">
        <w:r>
          <w:rPr>
            <w:rStyle w:val="Hyperlink"/>
          </w:rPr>
          <w:t xml:space="preserve">[46]</w:t>
        </w:r>
      </w:hyperlink>
    </w:p>
    <w:p>
      <w:pPr>
        <w:pStyle w:val="BodyText"/>
      </w:pPr>
      <w:r>
        <w:rPr>
          <w:rFonts w:hint="eastAsia"/>
        </w:rPr>
        <w:t xml:space="preserve">数据治理的关键难点在于：跨主体数据权限与口径不统一、时间同步与缺失值、以及在不同市场周期之间建立一致的“事实表”（例如合同电量、出清电量、计量电量、结算电量之间的关系）。信息披露规则提出标准化格式与接口服务，将在一定程度上降低“市场数据层”的集成成本，但企业侧与监控侧数据仍需要项目化治理。</w:t>
      </w:r>
      <w:hyperlink r:id="rId27">
        <w:r>
          <w:rPr>
            <w:rStyle w:val="Hyperlink"/>
          </w:rPr>
          <w:t xml:space="preserve">[60]</w:t>
        </w:r>
      </w:hyperlink>
    </w:p>
    <w:p>
      <w:pPr>
        <w:pStyle w:val="BodyText"/>
      </w:pPr>
      <w:r>
        <w:rPr>
          <w:rFonts w:hint="eastAsia"/>
        </w:rPr>
        <w:t xml:space="preserve">结论与可执行建议：数据侧优先建立“三张底座表”——(1)市场价格与出清事实表（按省/节点/时段），(2)企业计量与合同事实表（按计量点/用户/合同），(3)资源与气象事实表（按场站/设备/地理）。并以“披露数据为起点、企业自有数据扩展、监控侧数据谨慎接入”为原则，先做可商业闭环的数据产品，再逐步提升实时性与颗粒度。</w:t>
      </w:r>
      <w:hyperlink r:id="rId27">
        <w:r>
          <w:rPr>
            <w:rStyle w:val="Hyperlink"/>
          </w:rPr>
          <w:t xml:space="preserve">[61]</w:t>
        </w:r>
      </w:hyperlink>
    </w:p>
    <w:bookmarkEnd w:id="53"/>
    <w:bookmarkStart w:id="56" w:name="关键技术架构与功能设计"/>
    <w:p>
      <w:pPr>
        <w:pStyle w:val="Heading2"/>
      </w:pPr>
      <w:r>
        <w:rPr>
          <w:rFonts w:hint="eastAsia"/>
        </w:rPr>
        <w:t xml:space="preserve">关键技术架构与功能设计</w:t>
      </w:r>
    </w:p>
    <w:p>
      <w:pPr>
        <w:pStyle w:val="FirstParagraph"/>
      </w:pPr>
      <w:r>
        <w:rPr>
          <w:rFonts w:hint="eastAsia"/>
        </w:rPr>
        <w:t xml:space="preserve">电力交易软件的技术架构应同时满足：高并发交易事件处理、严格审计与可追溯、时序数据管理、模型训练与在线推理、以及合规隔离（尤其是与电力监控系统相关的数据域隔离）。现货规则将“技术支持系统功能符合要求、第三方校验、连续多日出清”作为试运行/结算试运行/正式运行的重要条件，这提示即使是市场主体侧系统，也应以可验证的工程标准设计“仿真/计算引擎”和数据管道。</w:t>
      </w:r>
      <w:hyperlink r:id="rId23">
        <w:r>
          <w:rPr>
            <w:rStyle w:val="Hyperlink"/>
          </w:rPr>
          <w:t xml:space="preserve">[62]</w:t>
        </w:r>
      </w:hyperlink>
    </w:p>
    <w:p>
      <w:pPr>
        <w:pStyle w:val="BodyText"/>
      </w:pPr>
      <w:r>
        <w:rPr>
          <w:rFonts w:hint="eastAsia"/>
          <w:b/>
          <w:bCs/>
        </w:rPr>
        <w:t xml:space="preserve">推荐总体架构（逻辑分层）</w:t>
      </w:r>
      <w:r>
        <w:br/>
      </w:r>
      <w:r>
        <w:t xml:space="preserve">- </w:t>
      </w:r>
      <w:r>
        <w:rPr>
          <w:rFonts w:hint="eastAsia"/>
        </w:rPr>
        <w:t xml:space="preserve">体验层：Web管理台（运营/交易员/风控/财务/运维）、移动端（告警/审批）、多租户与权限。</w:t>
      </w:r>
      <w:r>
        <w:br/>
      </w:r>
      <w:r>
        <w:t xml:space="preserve">- </w:t>
      </w:r>
      <w:r>
        <w:rPr>
          <w:rFonts w:hint="eastAsia"/>
        </w:rPr>
        <w:t xml:space="preserve">业务层：交易管理（合同/申报/执行）、风险管理（偏差/信用/限额）、结算对账、绿电绿证、需求响应与VPP。</w:t>
      </w:r>
      <w:r>
        <w:br/>
      </w:r>
      <w:r>
        <w:t xml:space="preserve">- </w:t>
      </w:r>
      <w:r>
        <w:rPr>
          <w:rFonts w:hint="eastAsia"/>
        </w:rPr>
        <w:t xml:space="preserve">数据层：流式采集（市场数据/计量/气象）、时序库（秒-分钟级）、数据湖/仓（历史回测与训练）、特征库（Feature</w:t>
      </w:r>
      <w:r>
        <w:t xml:space="preserve"> </w:t>
      </w:r>
      <w:r>
        <w:rPr>
          <w:rFonts w:hint="eastAsia"/>
        </w:rPr>
        <w:t xml:space="preserve">Store）。</w:t>
      </w:r>
      <w:r>
        <w:br/>
      </w:r>
      <w:r>
        <w:t xml:space="preserve">- </w:t>
      </w:r>
      <w:r>
        <w:rPr>
          <w:rFonts w:hint="eastAsia"/>
        </w:rPr>
        <w:t xml:space="preserve">智能层：训练平台（离线训练+AutoML/监控）、推理服务（在线预测）、优化求解器（MILP/启发式/RL）。</w:t>
      </w:r>
      <w:r>
        <w:br/>
      </w:r>
      <w:r>
        <w:t xml:space="preserve">- </w:t>
      </w:r>
      <w:r>
        <w:rPr>
          <w:rFonts w:hint="eastAsia"/>
        </w:rPr>
        <w:t xml:space="preserve">基础设施层：微服务+服务网格、消息队列/流处理、可观测性、安全与审计、可选账本/区块链。</w:t>
      </w:r>
    </w:p>
    <w:p>
      <w:pPr>
        <w:pStyle w:val="BodyText"/>
      </w:pPr>
      <w:r>
        <w:rPr>
          <w:rFonts w:hint="eastAsia"/>
          <w:b/>
          <w:bCs/>
        </w:rPr>
        <w:t xml:space="preserve">系统架构图（Mermaid示意）</w:t>
      </w:r>
      <w:r>
        <w:br/>
      </w:r>
    </w:p>
    <w:p>
      <w:pPr>
        <w:pStyle w:val="SourceCode"/>
      </w:pPr>
      <w:r>
        <w:rPr>
          <w:rStyle w:val="VerbatimChar"/>
        </w:rPr>
        <w:t xml:space="preserve">flowchart TB</w:t>
      </w:r>
      <w:r>
        <w:br/>
      </w:r>
      <w:r>
        <w:rPr>
          <w:rStyle w:val="VerbatimChar"/>
        </w:rPr>
        <w:t xml:space="preserve">  subgraph </w:t>
      </w:r>
      <w:r>
        <w:rPr>
          <w:rStyle w:val="VerbatimChar"/>
          <w:rFonts w:hint="eastAsia"/>
        </w:rPr>
        <w:t xml:space="preserve">Client[客户端]</w:t>
      </w:r>
      <w:r>
        <w:br/>
      </w:r>
      <w:r>
        <w:rPr>
          <w:rStyle w:val="VerbatimChar"/>
        </w:rPr>
        <w:t xml:space="preserve">    </w:t>
      </w:r>
      <w:r>
        <w:rPr>
          <w:rStyle w:val="VerbatimChar"/>
          <w:rFonts w:hint="eastAsia"/>
        </w:rPr>
        <w:t xml:space="preserve">Web[Web交易工作台]</w:t>
      </w:r>
      <w:r>
        <w:br/>
      </w:r>
      <w:r>
        <w:rPr>
          <w:rStyle w:val="VerbatimChar"/>
        </w:rPr>
        <w:t xml:space="preserve">    </w:t>
      </w:r>
      <w:r>
        <w:rPr>
          <w:rStyle w:val="VerbatimChar"/>
          <w:rFonts w:hint="eastAsia"/>
        </w:rPr>
        <w:t xml:space="preserve">Mobile[移动端告警/审批]</w:t>
      </w:r>
      <w:r>
        <w:br/>
      </w:r>
      <w:r>
        <w:rPr>
          <w:rStyle w:val="VerbatimChar"/>
        </w:rPr>
        <w:t xml:space="preserve">  end</w:t>
      </w:r>
      <w:r>
        <w:br/>
      </w:r>
      <w:r>
        <w:br/>
      </w:r>
      <w:r>
        <w:rPr>
          <w:rStyle w:val="VerbatimChar"/>
        </w:rPr>
        <w:t xml:space="preserve">  subgraph </w:t>
      </w:r>
      <w:r>
        <w:rPr>
          <w:rStyle w:val="VerbatimChar"/>
          <w:rFonts w:hint="eastAsia"/>
        </w:rPr>
        <w:t xml:space="preserve">Access[接入与安全]</w:t>
      </w:r>
      <w:r>
        <w:br/>
      </w:r>
      <w:r>
        <w:rPr>
          <w:rStyle w:val="VerbatimChar"/>
        </w:rPr>
        <w:t xml:space="preserve">    GW[API Gateway &amp; WAF]</w:t>
      </w:r>
      <w:r>
        <w:br/>
      </w:r>
      <w:r>
        <w:rPr>
          <w:rStyle w:val="VerbatimChar"/>
        </w:rPr>
        <w:t xml:space="preserve">    </w:t>
      </w:r>
      <w:r>
        <w:rPr>
          <w:rStyle w:val="VerbatimChar"/>
          <w:rFonts w:hint="eastAsia"/>
        </w:rPr>
        <w:t xml:space="preserve">IAM[身份认证IAM</w:t>
      </w:r>
      <w:r>
        <w:rPr>
          <w:rStyle w:val="VerbatimChar"/>
        </w:rPr>
        <w:t xml:space="preserve"> / </w:t>
      </w:r>
      <w:r>
        <w:rPr>
          <w:rStyle w:val="VerbatimChar"/>
          <w:rFonts w:hint="eastAsia"/>
        </w:rPr>
        <w:t xml:space="preserve">多租户RBAC]</w:t>
      </w:r>
      <w:r>
        <w:br/>
      </w:r>
      <w:r>
        <w:rPr>
          <w:rStyle w:val="VerbatimChar"/>
        </w:rPr>
        <w:t xml:space="preserve">    </w:t>
      </w:r>
      <w:r>
        <w:rPr>
          <w:rStyle w:val="VerbatimChar"/>
          <w:rFonts w:hint="eastAsia"/>
        </w:rPr>
        <w:t xml:space="preserve">Audit[审计与不可篡改日志]</w:t>
      </w:r>
      <w:r>
        <w:br/>
      </w:r>
      <w:r>
        <w:rPr>
          <w:rStyle w:val="VerbatimChar"/>
        </w:rPr>
        <w:t xml:space="preserve">  end</w:t>
      </w:r>
      <w:r>
        <w:br/>
      </w:r>
      <w:r>
        <w:br/>
      </w:r>
      <w:r>
        <w:rPr>
          <w:rStyle w:val="VerbatimChar"/>
        </w:rPr>
        <w:t xml:space="preserve">  subgraph </w:t>
      </w:r>
      <w:r>
        <w:rPr>
          <w:rStyle w:val="VerbatimChar"/>
          <w:rFonts w:hint="eastAsia"/>
        </w:rPr>
        <w:t xml:space="preserve">Core[核心业务微服务]</w:t>
      </w:r>
      <w:r>
        <w:br/>
      </w:r>
      <w:r>
        <w:rPr>
          <w:rStyle w:val="VerbatimChar"/>
        </w:rPr>
        <w:t xml:space="preserve">    </w:t>
      </w:r>
      <w:r>
        <w:rPr>
          <w:rStyle w:val="VerbatimChar"/>
          <w:rFonts w:hint="eastAsia"/>
        </w:rPr>
        <w:t xml:space="preserve">OMS[交易管理OMS&lt;br/&gt;合同/申报/执行/回测]</w:t>
      </w:r>
      <w:r>
        <w:br/>
      </w:r>
      <w:r>
        <w:rPr>
          <w:rStyle w:val="VerbatimChar"/>
        </w:rPr>
        <w:t xml:space="preserve">    </w:t>
      </w:r>
      <w:r>
        <w:rPr>
          <w:rStyle w:val="VerbatimChar"/>
          <w:rFonts w:hint="eastAsia"/>
        </w:rPr>
        <w:t xml:space="preserve">RISK[风控与限额&lt;br/&gt;偏差/信用/保证金/VaR]</w:t>
      </w:r>
      <w:r>
        <w:br/>
      </w:r>
      <w:r>
        <w:rPr>
          <w:rStyle w:val="VerbatimChar"/>
        </w:rPr>
        <w:t xml:space="preserve">    </w:t>
      </w:r>
      <w:r>
        <w:rPr>
          <w:rStyle w:val="VerbatimChar"/>
          <w:rFonts w:hint="eastAsia"/>
        </w:rPr>
        <w:t xml:space="preserve">SETTLE[结算对账&lt;br/&gt;计量/账单/分摊/开票接口]</w:t>
      </w:r>
      <w:r>
        <w:br/>
      </w:r>
      <w:r>
        <w:rPr>
          <w:rStyle w:val="VerbatimChar"/>
        </w:rPr>
        <w:t xml:space="preserve">    </w:t>
      </w:r>
      <w:r>
        <w:rPr>
          <w:rStyle w:val="VerbatimChar"/>
          <w:rFonts w:hint="eastAsia"/>
        </w:rPr>
        <w:t xml:space="preserve">GREEN[绿电/绿证台账&lt;br/&gt;环境属性追踪]</w:t>
      </w:r>
      <w:r>
        <w:br/>
      </w:r>
      <w:r>
        <w:rPr>
          <w:rStyle w:val="VerbatimChar"/>
        </w:rPr>
        <w:t xml:space="preserve">    </w:t>
      </w:r>
      <w:r>
        <w:rPr>
          <w:rStyle w:val="VerbatimChar"/>
          <w:rFonts w:hint="eastAsia"/>
        </w:rPr>
        <w:t xml:space="preserve">DRVPP[需求响应/虚拟电厂&lt;br/&gt;资源注册/邀约/执行/评估]</w:t>
      </w:r>
      <w:r>
        <w:br/>
      </w:r>
      <w:r>
        <w:rPr>
          <w:rStyle w:val="VerbatimChar"/>
        </w:rPr>
        <w:t xml:space="preserve">  end</w:t>
      </w:r>
      <w:r>
        <w:br/>
      </w:r>
      <w:r>
        <w:br/>
      </w:r>
      <w:r>
        <w:rPr>
          <w:rStyle w:val="VerbatimChar"/>
        </w:rPr>
        <w:t xml:space="preserve">  subgraph </w:t>
      </w:r>
      <w:r>
        <w:rPr>
          <w:rStyle w:val="VerbatimChar"/>
          <w:rFonts w:hint="eastAsia"/>
        </w:rPr>
        <w:t xml:space="preserve">Data[数据平台]</w:t>
      </w:r>
      <w:r>
        <w:br/>
      </w:r>
      <w:r>
        <w:rPr>
          <w:rStyle w:val="VerbatimChar"/>
        </w:rPr>
        <w:t xml:space="preserve">    </w:t>
      </w:r>
      <w:r>
        <w:rPr>
          <w:rStyle w:val="VerbatimChar"/>
          <w:rFonts w:hint="eastAsia"/>
        </w:rPr>
        <w:t xml:space="preserve">Ingest[数据采集&lt;br/&gt;市场披露/企业计量/气象/设备运维]</w:t>
      </w:r>
      <w:r>
        <w:br/>
      </w:r>
      <w:r>
        <w:rPr>
          <w:rStyle w:val="VerbatimChar"/>
        </w:rPr>
        <w:t xml:space="preserve">    MQ[Kafka/Pulsar]</w:t>
      </w:r>
      <w:r>
        <w:br/>
      </w:r>
      <w:r>
        <w:rPr>
          <w:rStyle w:val="VerbatimChar"/>
        </w:rPr>
        <w:t xml:space="preserve">    Stream[Flink/Spark </w:t>
      </w:r>
      <w:r>
        <w:rPr>
          <w:rStyle w:val="VerbatimChar"/>
          <w:rFonts w:hint="eastAsia"/>
        </w:rPr>
        <w:t xml:space="preserve">Streaming&lt;br/&gt;清洗/聚合/特征计算]</w:t>
      </w:r>
      <w:r>
        <w:br/>
      </w:r>
      <w:r>
        <w:rPr>
          <w:rStyle w:val="VerbatimChar"/>
        </w:rPr>
        <w:t xml:space="preserve">    </w:t>
      </w:r>
      <w:r>
        <w:rPr>
          <w:rStyle w:val="VerbatimChar"/>
          <w:rFonts w:hint="eastAsia"/>
        </w:rPr>
        <w:t xml:space="preserve">TSDB[时序数据库&lt;br/&gt;Timescale/Influx/TDengine]</w:t>
      </w:r>
      <w:r>
        <w:br/>
      </w:r>
      <w:r>
        <w:rPr>
          <w:rStyle w:val="VerbatimChar"/>
        </w:rPr>
        <w:t xml:space="preserve">    </w:t>
      </w:r>
      <w:r>
        <w:rPr>
          <w:rStyle w:val="VerbatimChar"/>
          <w:rFonts w:hint="eastAsia"/>
        </w:rPr>
        <w:t xml:space="preserve">Lake[数据湖/仓&lt;br/&gt;S3/HDFS</w:t>
      </w:r>
      <w:r>
        <w:rPr>
          <w:rStyle w:val="VerbatimChar"/>
        </w:rPr>
        <w:t xml:space="preserve"> + Iceberg/Delta]</w:t>
      </w:r>
      <w:r>
        <w:br/>
      </w:r>
      <w:r>
        <w:rPr>
          <w:rStyle w:val="VerbatimChar"/>
        </w:rPr>
        <w:t xml:space="preserve">    Feature[Feature Store]</w:t>
      </w:r>
      <w:r>
        <w:br/>
      </w:r>
      <w:r>
        <w:rPr>
          <w:rStyle w:val="VerbatimChar"/>
        </w:rPr>
        <w:t xml:space="preserve">  end</w:t>
      </w:r>
      <w:r>
        <w:br/>
      </w:r>
      <w:r>
        <w:br/>
      </w:r>
      <w:r>
        <w:rPr>
          <w:rStyle w:val="VerbatimChar"/>
        </w:rPr>
        <w:t xml:space="preserve">  subgraph </w:t>
      </w:r>
      <w:r>
        <w:rPr>
          <w:rStyle w:val="VerbatimChar"/>
          <w:rFonts w:hint="eastAsia"/>
        </w:rPr>
        <w:t xml:space="preserve">AI[模型与优化]</w:t>
      </w:r>
      <w:r>
        <w:br/>
      </w:r>
      <w:r>
        <w:rPr>
          <w:rStyle w:val="VerbatimChar"/>
        </w:rPr>
        <w:t xml:space="preserve">    </w:t>
      </w:r>
      <w:r>
        <w:rPr>
          <w:rStyle w:val="VerbatimChar"/>
          <w:rFonts w:hint="eastAsia"/>
        </w:rPr>
        <w:t xml:space="preserve">Train[训练编排&lt;br/&gt;MLFlow/Kubeflow]</w:t>
      </w:r>
      <w:r>
        <w:br/>
      </w:r>
      <w:r>
        <w:rPr>
          <w:rStyle w:val="VerbatimChar"/>
        </w:rPr>
        <w:t xml:space="preserve">    </w:t>
      </w:r>
      <w:r>
        <w:rPr>
          <w:rStyle w:val="VerbatimChar"/>
          <w:rFonts w:hint="eastAsia"/>
        </w:rPr>
        <w:t xml:space="preserve">Serve[在线推理服务&lt;br/&gt;REST/gRPC]</w:t>
      </w:r>
      <w:r>
        <w:br/>
      </w:r>
      <w:r>
        <w:rPr>
          <w:rStyle w:val="VerbatimChar"/>
        </w:rPr>
        <w:t xml:space="preserve">    </w:t>
      </w:r>
      <w:r>
        <w:rPr>
          <w:rStyle w:val="VerbatimChar"/>
          <w:rFonts w:hint="eastAsia"/>
        </w:rPr>
        <w:t xml:space="preserve">Opt[优化求解&lt;br/&gt;MILP/启发式/RL]</w:t>
      </w:r>
      <w:r>
        <w:br/>
      </w:r>
      <w:r>
        <w:rPr>
          <w:rStyle w:val="VerbatimChar"/>
        </w:rPr>
        <w:t xml:space="preserve">    </w:t>
      </w:r>
      <w:r>
        <w:rPr>
          <w:rStyle w:val="VerbatimChar"/>
          <w:rFonts w:hint="eastAsia"/>
        </w:rPr>
        <w:t xml:space="preserve">Monitor[模型监控&lt;br/&gt;漂移/回归/可解释性]</w:t>
      </w:r>
      <w:r>
        <w:br/>
      </w:r>
      <w:r>
        <w:rPr>
          <w:rStyle w:val="VerbatimChar"/>
        </w:rPr>
        <w:t xml:space="preserve">  end</w:t>
      </w:r>
      <w:r>
        <w:br/>
      </w:r>
      <w:r>
        <w:br/>
      </w:r>
      <w:r>
        <w:rPr>
          <w:rStyle w:val="VerbatimChar"/>
        </w:rPr>
        <w:t xml:space="preserve">  subgraph </w:t>
      </w:r>
      <w:r>
        <w:rPr>
          <w:rStyle w:val="VerbatimChar"/>
          <w:rFonts w:hint="eastAsia"/>
        </w:rPr>
        <w:t xml:space="preserve">Ext[外部系统/接口]</w:t>
      </w:r>
      <w:r>
        <w:br/>
      </w:r>
      <w:r>
        <w:rPr>
          <w:rStyle w:val="VerbatimChar"/>
        </w:rPr>
        <w:t xml:space="preserve">    </w:t>
      </w:r>
      <w:r>
        <w:rPr>
          <w:rStyle w:val="VerbatimChar"/>
          <w:rFonts w:hint="eastAsia"/>
        </w:rPr>
        <w:t xml:space="preserve">Market[交易中心/调度数据接口&lt;br/&gt;披露数据/回执/校验]</w:t>
      </w:r>
      <w:r>
        <w:br/>
      </w:r>
      <w:r>
        <w:rPr>
          <w:rStyle w:val="VerbatimChar"/>
        </w:rPr>
        <w:t xml:space="preserve">    </w:t>
      </w:r>
      <w:r>
        <w:rPr>
          <w:rStyle w:val="VerbatimChar"/>
          <w:rFonts w:hint="eastAsia"/>
        </w:rPr>
        <w:t xml:space="preserve">Meter[计量/电费/ERP/财务]</w:t>
      </w:r>
      <w:r>
        <w:br/>
      </w:r>
      <w:r>
        <w:rPr>
          <w:rStyle w:val="VerbatimChar"/>
        </w:rPr>
        <w:t xml:space="preserve">    </w:t>
      </w:r>
      <w:r>
        <w:rPr>
          <w:rStyle w:val="VerbatimChar"/>
          <w:rFonts w:hint="eastAsia"/>
        </w:rPr>
        <w:t xml:space="preserve">Weather[气象服务/NWP]</w:t>
      </w:r>
      <w:r>
        <w:br/>
      </w:r>
      <w:r>
        <w:rPr>
          <w:rStyle w:val="VerbatimChar"/>
        </w:rPr>
        <w:t xml:space="preserve">    </w:t>
      </w:r>
      <w:r>
        <w:rPr>
          <w:rStyle w:val="VerbatimChar"/>
          <w:rFonts w:hint="eastAsia"/>
        </w:rPr>
        <w:t xml:space="preserve">OandM[资产运维/CMMS/EAM]</w:t>
      </w:r>
      <w:r>
        <w:br/>
      </w:r>
      <w:r>
        <w:rPr>
          <w:rStyle w:val="VerbatimChar"/>
        </w:rPr>
        <w:t xml:space="preserve">    </w:t>
      </w:r>
      <w:r>
        <w:rPr>
          <w:rStyle w:val="VerbatimChar"/>
          <w:rFonts w:hint="eastAsia"/>
        </w:rPr>
        <w:t xml:space="preserve">Ledger[可选账本/区块链&lt;br/&gt;存证/对账]</w:t>
      </w:r>
      <w:r>
        <w:br/>
      </w:r>
      <w:r>
        <w:rPr>
          <w:rStyle w:val="VerbatimChar"/>
        </w:rPr>
        <w:t xml:space="preserve">  end</w:t>
      </w:r>
      <w:r>
        <w:br/>
      </w:r>
      <w:r>
        <w:br/>
      </w:r>
      <w:r>
        <w:rPr>
          <w:rStyle w:val="VerbatimChar"/>
        </w:rPr>
        <w:t xml:space="preserve">  Web --&gt; GW</w:t>
      </w:r>
      <w:r>
        <w:br/>
      </w:r>
      <w:r>
        <w:rPr>
          <w:rStyle w:val="VerbatimChar"/>
        </w:rPr>
        <w:t xml:space="preserve">  Mobile --&gt; GW</w:t>
      </w:r>
      <w:r>
        <w:br/>
      </w:r>
      <w:r>
        <w:rPr>
          <w:rStyle w:val="VerbatimChar"/>
        </w:rPr>
        <w:t xml:space="preserve">  GW --&gt; IAM</w:t>
      </w:r>
      <w:r>
        <w:br/>
      </w:r>
      <w:r>
        <w:rPr>
          <w:rStyle w:val="VerbatimChar"/>
        </w:rPr>
        <w:t xml:space="preserve">  GW --&gt; OMS</w:t>
      </w:r>
      <w:r>
        <w:br/>
      </w:r>
      <w:r>
        <w:rPr>
          <w:rStyle w:val="VerbatimChar"/>
        </w:rPr>
        <w:t xml:space="preserve">  GW --&gt; RISK</w:t>
      </w:r>
      <w:r>
        <w:br/>
      </w:r>
      <w:r>
        <w:rPr>
          <w:rStyle w:val="VerbatimChar"/>
        </w:rPr>
        <w:t xml:space="preserve">  GW --&gt; SETTLE</w:t>
      </w:r>
      <w:r>
        <w:br/>
      </w:r>
      <w:r>
        <w:rPr>
          <w:rStyle w:val="VerbatimChar"/>
        </w:rPr>
        <w:t xml:space="preserve">  GW --&gt; GREEN</w:t>
      </w:r>
      <w:r>
        <w:br/>
      </w:r>
      <w:r>
        <w:rPr>
          <w:rStyle w:val="VerbatimChar"/>
        </w:rPr>
        <w:t xml:space="preserve">  GW --&gt; DRVPP</w:t>
      </w:r>
      <w:r>
        <w:br/>
      </w:r>
      <w:r>
        <w:rPr>
          <w:rStyle w:val="VerbatimChar"/>
        </w:rPr>
        <w:t xml:space="preserve">  IAM --&gt; Audit</w:t>
      </w:r>
      <w:r>
        <w:br/>
      </w:r>
      <w:r>
        <w:rPr>
          <w:rStyle w:val="VerbatimChar"/>
        </w:rPr>
        <w:t xml:space="preserve">  OMS --&gt; Audit</w:t>
      </w:r>
      <w:r>
        <w:br/>
      </w:r>
      <w:r>
        <w:rPr>
          <w:rStyle w:val="VerbatimChar"/>
        </w:rPr>
        <w:t xml:space="preserve">  RISK --&gt; Audit</w:t>
      </w:r>
      <w:r>
        <w:br/>
      </w:r>
      <w:r>
        <w:rPr>
          <w:rStyle w:val="VerbatimChar"/>
        </w:rPr>
        <w:t xml:space="preserve">  SETTLE --&gt; Audit</w:t>
      </w:r>
      <w:r>
        <w:br/>
      </w:r>
      <w:r>
        <w:br/>
      </w:r>
      <w:r>
        <w:rPr>
          <w:rStyle w:val="VerbatimChar"/>
        </w:rPr>
        <w:t xml:space="preserve">  Ingest --&gt; MQ --&gt; Stream</w:t>
      </w:r>
      <w:r>
        <w:br/>
      </w:r>
      <w:r>
        <w:rPr>
          <w:rStyle w:val="VerbatimChar"/>
        </w:rPr>
        <w:t xml:space="preserve">  Stream --&gt; TSDB</w:t>
      </w:r>
      <w:r>
        <w:br/>
      </w:r>
      <w:r>
        <w:rPr>
          <w:rStyle w:val="VerbatimChar"/>
        </w:rPr>
        <w:t xml:space="preserve">  Stream --&gt; Lake</w:t>
      </w:r>
      <w:r>
        <w:br/>
      </w:r>
      <w:r>
        <w:rPr>
          <w:rStyle w:val="VerbatimChar"/>
        </w:rPr>
        <w:t xml:space="preserve">  Lake --&gt; Feature</w:t>
      </w:r>
      <w:r>
        <w:br/>
      </w:r>
      <w:r>
        <w:rPr>
          <w:rStyle w:val="VerbatimChar"/>
        </w:rPr>
        <w:t xml:space="preserve">  Feature --&gt; Train --&gt; Serve</w:t>
      </w:r>
      <w:r>
        <w:br/>
      </w:r>
      <w:r>
        <w:rPr>
          <w:rStyle w:val="VerbatimChar"/>
        </w:rPr>
        <w:t xml:space="preserve">  Serve --&gt; OMS</w:t>
      </w:r>
      <w:r>
        <w:br/>
      </w:r>
      <w:r>
        <w:rPr>
          <w:rStyle w:val="VerbatimChar"/>
        </w:rPr>
        <w:t xml:space="preserve">  Serve --&gt; RISK</w:t>
      </w:r>
      <w:r>
        <w:br/>
      </w:r>
      <w:r>
        <w:rPr>
          <w:rStyle w:val="VerbatimChar"/>
        </w:rPr>
        <w:t xml:space="preserve">  Serve --&gt; DRVPP</w:t>
      </w:r>
      <w:r>
        <w:br/>
      </w:r>
      <w:r>
        <w:rPr>
          <w:rStyle w:val="VerbatimChar"/>
        </w:rPr>
        <w:t xml:space="preserve">  Opt --&gt; OMS</w:t>
      </w:r>
      <w:r>
        <w:br/>
      </w:r>
      <w:r>
        <w:rPr>
          <w:rStyle w:val="VerbatimChar"/>
        </w:rPr>
        <w:t xml:space="preserve">  Opt --&gt; DRVPP</w:t>
      </w:r>
      <w:r>
        <w:br/>
      </w:r>
      <w:r>
        <w:rPr>
          <w:rStyle w:val="VerbatimChar"/>
        </w:rPr>
        <w:t xml:space="preserve">  Monitor --&gt; Train</w:t>
      </w:r>
      <w:r>
        <w:br/>
      </w:r>
      <w:r>
        <w:rPr>
          <w:rStyle w:val="VerbatimChar"/>
        </w:rPr>
        <w:t xml:space="preserve">  Monitor --&gt; Serve</w:t>
      </w:r>
      <w:r>
        <w:br/>
      </w:r>
      <w:r>
        <w:br/>
      </w:r>
      <w:r>
        <w:rPr>
          <w:rStyle w:val="VerbatimChar"/>
        </w:rPr>
        <w:t xml:space="preserve">  OMS &lt;--&gt; Market</w:t>
      </w:r>
      <w:r>
        <w:br/>
      </w:r>
      <w:r>
        <w:rPr>
          <w:rStyle w:val="VerbatimChar"/>
        </w:rPr>
        <w:t xml:space="preserve">  SETTLE &lt;--&gt; Meter</w:t>
      </w:r>
      <w:r>
        <w:br/>
      </w:r>
      <w:r>
        <w:rPr>
          <w:rStyle w:val="VerbatimChar"/>
        </w:rPr>
        <w:t xml:space="preserve">  Ingest &lt;--&gt; Weather</w:t>
      </w:r>
      <w:r>
        <w:br/>
      </w:r>
      <w:r>
        <w:rPr>
          <w:rStyle w:val="VerbatimChar"/>
        </w:rPr>
        <w:t xml:space="preserve">  Ingest &lt;--&gt; OandM</w:t>
      </w:r>
      <w:r>
        <w:br/>
      </w:r>
      <w:r>
        <w:rPr>
          <w:rStyle w:val="VerbatimChar"/>
        </w:rPr>
        <w:t xml:space="preserve">  Audit --&gt; Ledger</w:t>
      </w:r>
    </w:p>
    <w:p>
      <w:pPr>
        <w:pStyle w:val="FirstParagraph"/>
      </w:pPr>
      <w:r>
        <w:rPr>
          <w:rFonts w:hint="eastAsia"/>
          <w:b/>
          <w:bCs/>
        </w:rPr>
        <w:t xml:space="preserve">功能需求表（模块—功能点—优先级—依赖数据/接口）</w:t>
      </w:r>
      <w:r>
        <w:br/>
      </w:r>
      <w:r>
        <w:t xml:space="preserve">| </w:t>
      </w:r>
      <w:r>
        <w:rPr>
          <w:rFonts w:hint="eastAsia"/>
        </w:rPr>
        <w:t xml:space="preserve">模块</w:t>
      </w:r>
      <w:r>
        <w:t xml:space="preserve"> | </w:t>
      </w:r>
      <w:r>
        <w:rPr>
          <w:rFonts w:hint="eastAsia"/>
        </w:rPr>
        <w:t xml:space="preserve">功能点（示例）</w:t>
      </w:r>
      <w:r>
        <w:t xml:space="preserve"> | </w:t>
      </w:r>
      <w:r>
        <w:rPr>
          <w:rFonts w:hint="eastAsia"/>
        </w:rPr>
        <w:t xml:space="preserve">优先级（MVP→增强）</w:t>
      </w:r>
      <w:r>
        <w:t xml:space="preserve"> | </w:t>
      </w:r>
      <w:r>
        <w:rPr>
          <w:rFonts w:hint="eastAsia"/>
        </w:rPr>
        <w:t xml:space="preserve">依赖数据/接口</w:t>
      </w:r>
      <w:r>
        <w:t xml:space="preserve"> |</w:t>
      </w:r>
      <w:r>
        <w:t xml:space="preserve"> </w:t>
      </w:r>
      <w:r>
        <w:t xml:space="preserve">|---|---|---|---|</w:t>
      </w:r>
      <w:r>
        <w:t xml:space="preserve"> </w:t>
      </w:r>
      <w:r>
        <w:t xml:space="preserve">| </w:t>
      </w:r>
      <w:r>
        <w:rPr>
          <w:rFonts w:hint="eastAsia"/>
        </w:rPr>
        <w:t xml:space="preserve">市场适配层（Market</w:t>
      </w:r>
      <w:r>
        <w:t xml:space="preserve"> </w:t>
      </w:r>
      <w:r>
        <w:rPr>
          <w:rFonts w:hint="eastAsia"/>
        </w:rPr>
        <w:t xml:space="preserve">Adapter）</w:t>
      </w:r>
      <w:r>
        <w:t xml:space="preserve"> | </w:t>
      </w:r>
      <w:r>
        <w:rPr>
          <w:rFonts w:hint="eastAsia"/>
        </w:rPr>
        <w:t xml:space="preserve">省份规则配置、交易品种/时间尺度映射、限价/出清口径配置、规则版本管理</w:t>
      </w:r>
      <w:r>
        <w:t xml:space="preserve"> | P0 | </w:t>
      </w:r>
      <w:r>
        <w:rPr>
          <w:rFonts w:hint="eastAsia"/>
        </w:rPr>
        <w:t xml:space="preserve">各省细则/公告、披露数据口径</w:t>
      </w:r>
      <w:hyperlink r:id="rId27">
        <w:r>
          <w:rPr>
            <w:rStyle w:val="Hyperlink"/>
          </w:rPr>
          <w:t xml:space="preserve">[63]</w:t>
        </w:r>
      </w:hyperlink>
      <w:r>
        <w:t xml:space="preserve"> </w:t>
      </w:r>
      <w:r>
        <w:t xml:space="preserve">|</w:t>
      </w:r>
      <w:r>
        <w:t xml:space="preserve"> </w:t>
      </w:r>
      <w:r>
        <w:t xml:space="preserve">| </w:t>
      </w:r>
      <w:r>
        <w:rPr>
          <w:rFonts w:hint="eastAsia"/>
        </w:rPr>
        <w:t xml:space="preserve">用户与权限</w:t>
      </w:r>
      <w:r>
        <w:t xml:space="preserve"> | </w:t>
      </w:r>
      <w:r>
        <w:rPr>
          <w:rFonts w:hint="eastAsia"/>
        </w:rPr>
        <w:t xml:space="preserve">多租户、RBAC、岗位权限、双人复核、操作留痕</w:t>
      </w:r>
      <w:r>
        <w:t xml:space="preserve"> | P0 | </w:t>
      </w:r>
      <w:r>
        <w:rPr>
          <w:rFonts w:hint="eastAsia"/>
        </w:rPr>
        <w:t xml:space="preserve">IAM、审计日志（合规要求）</w:t>
      </w:r>
      <w:hyperlink r:id="rId24">
        <w:r>
          <w:rPr>
            <w:rStyle w:val="Hyperlink"/>
          </w:rPr>
          <w:t xml:space="preserve">[64]</w:t>
        </w:r>
      </w:hyperlink>
      <w:r>
        <w:t xml:space="preserve"> </w:t>
      </w:r>
      <w:r>
        <w:t xml:space="preserve">|</w:t>
      </w:r>
      <w:r>
        <w:t xml:space="preserve"> </w:t>
      </w:r>
      <w:r>
        <w:t xml:space="preserve">| </w:t>
      </w:r>
      <w:r>
        <w:rPr>
          <w:rFonts w:hint="eastAsia"/>
        </w:rPr>
        <w:t xml:space="preserve">合同与持仓</w:t>
      </w:r>
      <w:r>
        <w:t xml:space="preserve"> | </w:t>
      </w:r>
      <w:r>
        <w:rPr>
          <w:rFonts w:hint="eastAsia"/>
        </w:rPr>
        <w:t xml:space="preserve">中长期合同台账、分时曲线、绿电合同与环境属性关联</w:t>
      </w:r>
      <w:r>
        <w:t xml:space="preserve"> | P0 | </w:t>
      </w:r>
      <w:r>
        <w:rPr>
          <w:rFonts w:hint="eastAsia"/>
        </w:rPr>
        <w:t xml:space="preserve">合同/电量曲线、绿证划转规则</w:t>
      </w:r>
      <w:hyperlink r:id="rId54">
        <w:r>
          <w:rPr>
            <w:rStyle w:val="Hyperlink"/>
          </w:rPr>
          <w:t xml:space="preserve">[65]</w:t>
        </w:r>
      </w:hyperlink>
      <w:r>
        <w:t xml:space="preserve"> </w:t>
      </w:r>
      <w:r>
        <w:t xml:space="preserve">|</w:t>
      </w:r>
      <w:r>
        <w:t xml:space="preserve"> </w:t>
      </w:r>
      <w:r>
        <w:t xml:space="preserve">| </w:t>
      </w:r>
      <w:r>
        <w:rPr>
          <w:rFonts w:hint="eastAsia"/>
        </w:rPr>
        <w:t xml:space="preserve">报量报价/申报</w:t>
      </w:r>
      <w:r>
        <w:t xml:space="preserve"> | </w:t>
      </w:r>
      <w:r>
        <w:rPr>
          <w:rFonts w:hint="eastAsia"/>
        </w:rPr>
        <w:t xml:space="preserve">申报模板、批量导入、校验、回执管理、申报截止提醒</w:t>
      </w:r>
      <w:r>
        <w:t xml:space="preserve"> | P0 | </w:t>
      </w:r>
      <w:r>
        <w:rPr>
          <w:rFonts w:hint="eastAsia"/>
        </w:rPr>
        <w:t xml:space="preserve">交易中心接口/回执、披露规则时限</w:t>
      </w:r>
      <w:hyperlink r:id="rId23">
        <w:r>
          <w:rPr>
            <w:rStyle w:val="Hyperlink"/>
          </w:rPr>
          <w:t xml:space="preserve">[36]</w:t>
        </w:r>
      </w:hyperlink>
      <w:r>
        <w:t xml:space="preserve"> </w:t>
      </w:r>
      <w:r>
        <w:t xml:space="preserve">|</w:t>
      </w:r>
      <w:r>
        <w:t xml:space="preserve"> </w:t>
      </w:r>
      <w:r>
        <w:t xml:space="preserve">| </w:t>
      </w:r>
      <w:r>
        <w:rPr>
          <w:rFonts w:hint="eastAsia"/>
        </w:rPr>
        <w:t xml:space="preserve">预测（负荷/价格/风光）</w:t>
      </w:r>
      <w:r>
        <w:t xml:space="preserve"> | </w:t>
      </w:r>
      <w:r>
        <w:rPr>
          <w:rFonts w:hint="eastAsia"/>
        </w:rPr>
        <w:t xml:space="preserve">日前/日内/短时预测、置信区间、特征工程自动化</w:t>
      </w:r>
      <w:r>
        <w:t xml:space="preserve"> | P0→P1 | </w:t>
      </w:r>
      <w:r>
        <w:rPr>
          <w:rFonts w:hint="eastAsia"/>
        </w:rPr>
        <w:t xml:space="preserve">历史价格与出清、负荷、气象/NWP</w:t>
      </w:r>
      <w:hyperlink r:id="rId23">
        <w:r>
          <w:rPr>
            <w:rStyle w:val="Hyperlink"/>
          </w:rPr>
          <w:t xml:space="preserve">[66]</w:t>
        </w:r>
      </w:hyperlink>
      <w:r>
        <w:t xml:space="preserve"> </w:t>
      </w:r>
      <w:r>
        <w:t xml:space="preserve">|</w:t>
      </w:r>
      <w:r>
        <w:t xml:space="preserve"> </w:t>
      </w:r>
      <w:r>
        <w:t xml:space="preserve">| </w:t>
      </w:r>
      <w:r>
        <w:rPr>
          <w:rFonts w:hint="eastAsia"/>
        </w:rPr>
        <w:t xml:space="preserve">交易策略与仿真</w:t>
      </w:r>
      <w:r>
        <w:t xml:space="preserve"> | </w:t>
      </w:r>
      <w:r>
        <w:rPr>
          <w:rFonts w:hint="eastAsia"/>
        </w:rPr>
        <w:t xml:space="preserve">出清仿真（集中出清近似）、策略回测、敏感性分析</w:t>
      </w:r>
      <w:r>
        <w:t xml:space="preserve"> | P1 | </w:t>
      </w:r>
      <w:r>
        <w:rPr>
          <w:rFonts w:hint="eastAsia"/>
        </w:rPr>
        <w:t xml:space="preserve">历史出清数据、规则参数、资源约束</w:t>
      </w:r>
      <w:hyperlink r:id="rId23">
        <w:r>
          <w:rPr>
            <w:rStyle w:val="Hyperlink"/>
          </w:rPr>
          <w:t xml:space="preserve">[36]</w:t>
        </w:r>
      </w:hyperlink>
      <w:r>
        <w:t xml:space="preserve"> </w:t>
      </w:r>
      <w:r>
        <w:t xml:space="preserve">|</w:t>
      </w:r>
      <w:r>
        <w:t xml:space="preserve"> </w:t>
      </w:r>
      <w:r>
        <w:t xml:space="preserve">| </w:t>
      </w:r>
      <w:r>
        <w:rPr>
          <w:rFonts w:hint="eastAsia"/>
        </w:rPr>
        <w:t xml:space="preserve">风险管理</w:t>
      </w:r>
      <w:r>
        <w:t xml:space="preserve"> | </w:t>
      </w:r>
      <w:r>
        <w:rPr>
          <w:rFonts w:hint="eastAsia"/>
        </w:rPr>
        <w:t xml:space="preserve">偏差电量测算、保证金/授信、限额、压力测试、异常交易监测</w:t>
      </w:r>
      <w:r>
        <w:t xml:space="preserve"> | P0→P1 | </w:t>
      </w:r>
      <w:r>
        <w:rPr>
          <w:rFonts w:hint="eastAsia"/>
        </w:rPr>
        <w:t xml:space="preserve">计量/合同/出清、信用与披露信息</w:t>
      </w:r>
      <w:hyperlink r:id="rId24">
        <w:r>
          <w:rPr>
            <w:rStyle w:val="Hyperlink"/>
          </w:rPr>
          <w:t xml:space="preserve">[67]</w:t>
        </w:r>
      </w:hyperlink>
      <w:r>
        <w:t xml:space="preserve"> </w:t>
      </w:r>
      <w:r>
        <w:t xml:space="preserve">|</w:t>
      </w:r>
      <w:r>
        <w:t xml:space="preserve"> </w:t>
      </w:r>
      <w:r>
        <w:t xml:space="preserve">| </w:t>
      </w:r>
      <w:r>
        <w:rPr>
          <w:rFonts w:hint="eastAsia"/>
        </w:rPr>
        <w:t xml:space="preserve">结算对账</w:t>
      </w:r>
      <w:r>
        <w:t xml:space="preserve"> | </w:t>
      </w:r>
      <w:r>
        <w:rPr>
          <w:rFonts w:hint="eastAsia"/>
        </w:rPr>
        <w:t xml:space="preserve">计量点管理、账单对账、差价/差量结算辅助、分摊核算</w:t>
      </w:r>
      <w:r>
        <w:t xml:space="preserve"> | P0 | </w:t>
      </w:r>
      <w:r>
        <w:rPr>
          <w:rFonts w:hint="eastAsia"/>
        </w:rPr>
        <w:t xml:space="preserve">计量结算规则、计量/财务接口</w:t>
      </w:r>
      <w:hyperlink r:id="rId55">
        <w:r>
          <w:rPr>
            <w:rStyle w:val="Hyperlink"/>
          </w:rPr>
          <w:t xml:space="preserve">[68]</w:t>
        </w:r>
      </w:hyperlink>
      <w:r>
        <w:t xml:space="preserve"> </w:t>
      </w:r>
      <w:r>
        <w:t xml:space="preserve">|</w:t>
      </w:r>
      <w:r>
        <w:t xml:space="preserve"> </w:t>
      </w:r>
      <w:r>
        <w:t xml:space="preserve">| </w:t>
      </w:r>
      <w:r>
        <w:rPr>
          <w:rFonts w:hint="eastAsia"/>
        </w:rPr>
        <w:t xml:space="preserve">辅助服务</w:t>
      </w:r>
      <w:r>
        <w:t xml:space="preserve"> | </w:t>
      </w:r>
      <w:r>
        <w:rPr>
          <w:rFonts w:hint="eastAsia"/>
        </w:rPr>
        <w:t xml:space="preserve">辅助服务品种台账、收益测算、参与资格与可调能力校核</w:t>
      </w:r>
      <w:r>
        <w:t xml:space="preserve"> | P1 | </w:t>
      </w:r>
      <w:r>
        <w:rPr>
          <w:rFonts w:hint="eastAsia"/>
        </w:rPr>
        <w:t xml:space="preserve">辅助服务规则、设备可调数据</w:t>
      </w:r>
      <w:hyperlink r:id="rId34">
        <w:r>
          <w:rPr>
            <w:rStyle w:val="Hyperlink"/>
          </w:rPr>
          <w:t xml:space="preserve">[69]</w:t>
        </w:r>
      </w:hyperlink>
      <w:r>
        <w:t xml:space="preserve"> </w:t>
      </w:r>
      <w:r>
        <w:t xml:space="preserve">|</w:t>
      </w:r>
      <w:r>
        <w:t xml:space="preserve"> </w:t>
      </w:r>
      <w:r>
        <w:t xml:space="preserve">| </w:t>
      </w:r>
      <w:r>
        <w:rPr>
          <w:rFonts w:hint="eastAsia"/>
        </w:rPr>
        <w:t xml:space="preserve">需求响应/虚拟电厂</w:t>
      </w:r>
      <w:r>
        <w:t xml:space="preserve"> | </w:t>
      </w:r>
      <w:r>
        <w:rPr>
          <w:rFonts w:hint="eastAsia"/>
        </w:rPr>
        <w:t xml:space="preserve">资源注册、可调容量建模、邀约—确认—执行—评估、收益结算</w:t>
      </w:r>
      <w:r>
        <w:t xml:space="preserve"> | P1→P2 | </w:t>
      </w:r>
      <w:r>
        <w:rPr>
          <w:rFonts w:hint="eastAsia"/>
        </w:rPr>
        <w:t xml:space="preserve">负荷管理流程、注册规则、计量数据</w:t>
      </w:r>
      <w:hyperlink r:id="rId42">
        <w:r>
          <w:rPr>
            <w:rStyle w:val="Hyperlink"/>
          </w:rPr>
          <w:t xml:space="preserve">[70]</w:t>
        </w:r>
      </w:hyperlink>
      <w:r>
        <w:t xml:space="preserve"> </w:t>
      </w:r>
      <w:r>
        <w:t xml:space="preserve">|</w:t>
      </w:r>
      <w:r>
        <w:t xml:space="preserve"> </w:t>
      </w:r>
      <w:r>
        <w:t xml:space="preserve">| </w:t>
      </w:r>
      <w:r>
        <w:rPr>
          <w:rFonts w:hint="eastAsia"/>
        </w:rPr>
        <w:t xml:space="preserve">数据平台</w:t>
      </w:r>
      <w:r>
        <w:t xml:space="preserve"> | </w:t>
      </w:r>
      <w:r>
        <w:rPr>
          <w:rFonts w:hint="eastAsia"/>
        </w:rPr>
        <w:t xml:space="preserve">流采集、数据质量规则、数据血缘、特征库</w:t>
      </w:r>
      <w:r>
        <w:t xml:space="preserve"> | P0→P1 | </w:t>
      </w:r>
      <w:r>
        <w:rPr>
          <w:rFonts w:hint="eastAsia"/>
        </w:rPr>
        <w:t xml:space="preserve">披露数据接口、企业数据源、气象源</w:t>
      </w:r>
      <w:hyperlink r:id="rId27">
        <w:r>
          <w:rPr>
            <w:rStyle w:val="Hyperlink"/>
          </w:rPr>
          <w:t xml:space="preserve">[63]</w:t>
        </w:r>
      </w:hyperlink>
      <w:r>
        <w:t xml:space="preserve"> </w:t>
      </w:r>
      <w:r>
        <w:t xml:space="preserve">|</w:t>
      </w:r>
      <w:r>
        <w:t xml:space="preserve"> </w:t>
      </w:r>
      <w:r>
        <w:t xml:space="preserve">| </w:t>
      </w:r>
      <w:r>
        <w:rPr>
          <w:rFonts w:hint="eastAsia"/>
        </w:rPr>
        <w:t xml:space="preserve">安全与合规</w:t>
      </w:r>
      <w:r>
        <w:t xml:space="preserve"> | </w:t>
      </w:r>
      <w:r>
        <w:rPr>
          <w:rFonts w:hint="eastAsia"/>
        </w:rPr>
        <w:t xml:space="preserve">等保控制点映射、脱敏/加密、密钥管理、审计封存、应急预案</w:t>
      </w:r>
      <w:r>
        <w:t xml:space="preserve"> | P0 | </w:t>
      </w:r>
      <w:r>
        <w:rPr>
          <w:rFonts w:hint="eastAsia"/>
        </w:rPr>
        <w:t xml:space="preserve">等保标准、关基/隐私法规</w:t>
      </w:r>
      <w:hyperlink r:id="rId39">
        <w:r>
          <w:rPr>
            <w:rStyle w:val="Hyperlink"/>
          </w:rPr>
          <w:t xml:space="preserve">[71]</w:t>
        </w:r>
      </w:hyperlink>
      <w:r>
        <w:t xml:space="preserve"> </w:t>
      </w:r>
      <w:r>
        <w:t xml:space="preserve">|</w:t>
      </w:r>
    </w:p>
    <w:p>
      <w:pPr>
        <w:pStyle w:val="BodyText"/>
      </w:pPr>
      <w:r>
        <w:rPr>
          <w:rFonts w:hint="eastAsia"/>
          <w:b/>
          <w:bCs/>
        </w:rPr>
        <w:t xml:space="preserve">技术选型对比表（建议口径：优先“成熟生态+可运维性+可审计性”）</w:t>
      </w:r>
      <w:r>
        <w:br/>
      </w:r>
      <w:r>
        <w:t xml:space="preserve">| </w:t>
      </w:r>
      <w:r>
        <w:rPr>
          <w:rFonts w:hint="eastAsia"/>
        </w:rPr>
        <w:t xml:space="preserve">组件</w:t>
      </w:r>
      <w:r>
        <w:t xml:space="preserve"> | </w:t>
      </w:r>
      <w:r>
        <w:rPr>
          <w:rFonts w:hint="eastAsia"/>
        </w:rPr>
        <w:t xml:space="preserve">方案A</w:t>
      </w:r>
      <w:r>
        <w:t xml:space="preserve"> | </w:t>
      </w:r>
      <w:r>
        <w:rPr>
          <w:rFonts w:hint="eastAsia"/>
        </w:rPr>
        <w:t xml:space="preserve">方案B</w:t>
      </w:r>
      <w:r>
        <w:t xml:space="preserve"> | </w:t>
      </w:r>
      <w:r>
        <w:rPr>
          <w:rFonts w:hint="eastAsia"/>
        </w:rPr>
        <w:t xml:space="preserve">方案C</w:t>
      </w:r>
      <w:r>
        <w:t xml:space="preserve"> | </w:t>
      </w:r>
      <w:r>
        <w:rPr>
          <w:rFonts w:hint="eastAsia"/>
        </w:rPr>
        <w:t xml:space="preserve">选择建议（面向MVP→规模化）</w:t>
      </w:r>
      <w:r>
        <w:t xml:space="preserve"> |</w:t>
      </w:r>
      <w:r>
        <w:t xml:space="preserve"> </w:t>
      </w:r>
      <w:r>
        <w:t xml:space="preserve">|---|---|---|---|---|</w:t>
      </w:r>
      <w:r>
        <w:t xml:space="preserve"> </w:t>
      </w:r>
      <w:r>
        <w:t xml:space="preserve">| </w:t>
      </w:r>
      <w:r>
        <w:rPr>
          <w:rFonts w:hint="eastAsia"/>
        </w:rPr>
        <w:t xml:space="preserve">业务数据库（OLTP）</w:t>
      </w:r>
      <w:r>
        <w:t xml:space="preserve"> | PostgreSQL | MySQL | </w:t>
      </w:r>
      <w:r>
        <w:rPr>
          <w:rFonts w:hint="eastAsia"/>
        </w:rPr>
        <w:t xml:space="preserve">TiDB（分布式）</w:t>
      </w:r>
      <w:r>
        <w:t xml:space="preserve"> | </w:t>
      </w:r>
      <w:r>
        <w:rPr>
          <w:rFonts w:hint="eastAsia"/>
        </w:rPr>
        <w:t xml:space="preserve">MVP优先PostgreSQL；跨地域/强扩展再评估TiDB（成本与运维更高）</w:t>
      </w:r>
      <w:r>
        <w:t xml:space="preserve"> |</w:t>
      </w:r>
      <w:r>
        <w:t xml:space="preserve"> </w:t>
      </w:r>
      <w:r>
        <w:t xml:space="preserve">| </w:t>
      </w:r>
      <w:r>
        <w:rPr>
          <w:rFonts w:hint="eastAsia"/>
        </w:rPr>
        <w:t xml:space="preserve">分析型数据库（OLAP）</w:t>
      </w:r>
      <w:r>
        <w:t xml:space="preserve"> | ClickHouse | StarRocks | Trino+Lakehouse | </w:t>
      </w:r>
      <w:r>
        <w:rPr>
          <w:rFonts w:hint="eastAsia"/>
        </w:rPr>
        <w:t xml:space="preserve">报表/归因强依赖OLAP时优先ClickHouse；与湖仓统一则Trino更灵活</w:t>
      </w:r>
      <w:r>
        <w:t xml:space="preserve"> |</w:t>
      </w:r>
      <w:r>
        <w:t xml:space="preserve"> </w:t>
      </w:r>
      <w:r>
        <w:t xml:space="preserve">| </w:t>
      </w:r>
      <w:r>
        <w:rPr>
          <w:rFonts w:hint="eastAsia"/>
        </w:rPr>
        <w:t xml:space="preserve">流处理</w:t>
      </w:r>
      <w:r>
        <w:t xml:space="preserve"> | Apache Flink | Spark Streaming | Kafka Streams | </w:t>
      </w:r>
      <w:r>
        <w:rPr>
          <w:rFonts w:hint="eastAsia"/>
        </w:rPr>
        <w:t xml:space="preserve">有“秒级特征+事件驱动”需求优先Flink；纯轻量聚合可Kafka</w:t>
      </w:r>
      <w:r>
        <w:t xml:space="preserve"> Streams |</w:t>
      </w:r>
      <w:r>
        <w:t xml:space="preserve"> </w:t>
      </w:r>
      <w:r>
        <w:t xml:space="preserve">| </w:t>
      </w:r>
      <w:r>
        <w:rPr>
          <w:rFonts w:hint="eastAsia"/>
        </w:rPr>
        <w:t xml:space="preserve">消息队列/日志</w:t>
      </w:r>
      <w:r>
        <w:t xml:space="preserve"> | Kafka | Pulsar | RocketMQ | </w:t>
      </w:r>
      <w:r>
        <w:rPr>
          <w:rFonts w:hint="eastAsia"/>
        </w:rPr>
        <w:t xml:space="preserve">Kafka生态最成熟；对多租户隔离与分层存储要求高可评估Pulsar</w:t>
      </w:r>
      <w:r>
        <w:t xml:space="preserve"> |</w:t>
      </w:r>
      <w:r>
        <w:t xml:space="preserve"> </w:t>
      </w:r>
      <w:r>
        <w:t xml:space="preserve">| </w:t>
      </w:r>
      <w:r>
        <w:rPr>
          <w:rFonts w:hint="eastAsia"/>
        </w:rPr>
        <w:t xml:space="preserve">时序数据库（TSDB）</w:t>
      </w:r>
      <w:r>
        <w:t xml:space="preserve"> | TimescaleDB | InfluxDB | TDengine | </w:t>
      </w:r>
      <w:r>
        <w:rPr>
          <w:rFonts w:hint="eastAsia"/>
        </w:rPr>
        <w:t xml:space="preserve">以SQL生态与多维分析为主选Timescale；高写入与运维简化可Influx/TDengine（按团队经验）</w:t>
      </w:r>
      <w:r>
        <w:t xml:space="preserve"> |</w:t>
      </w:r>
      <w:r>
        <w:t xml:space="preserve"> </w:t>
      </w:r>
      <w:r>
        <w:t xml:space="preserve">| </w:t>
      </w:r>
      <w:r>
        <w:rPr>
          <w:rFonts w:hint="eastAsia"/>
        </w:rPr>
        <w:t xml:space="preserve">ML框架</w:t>
      </w:r>
      <w:r>
        <w:t xml:space="preserve"> | PyTorch | TensorFlow | </w:t>
      </w:r>
      <w:r>
        <w:rPr>
          <w:rFonts w:hint="eastAsia"/>
        </w:rPr>
        <w:t xml:space="preserve">XGBoost/LightGBM（树模型）</w:t>
      </w:r>
      <w:r>
        <w:t xml:space="preserve"> | </w:t>
      </w:r>
      <w:r>
        <w:rPr>
          <w:rFonts w:hint="eastAsia"/>
        </w:rPr>
        <w:t xml:space="preserve">深度时序预测优先PyTorch；结构化特征与小样本补充树模型</w:t>
      </w:r>
      <w:r>
        <w:t xml:space="preserve"> |</w:t>
      </w:r>
      <w:r>
        <w:t xml:space="preserve"> </w:t>
      </w:r>
      <w:r>
        <w:t xml:space="preserve">| </w:t>
      </w:r>
      <w:r>
        <w:rPr>
          <w:rFonts w:hint="eastAsia"/>
        </w:rPr>
        <w:t xml:space="preserve">训练/实验管理</w:t>
      </w:r>
      <w:r>
        <w:t xml:space="preserve"> | MLflow | Kubeflow | Airflow + </w:t>
      </w:r>
      <w:r>
        <w:rPr>
          <w:rFonts w:hint="eastAsia"/>
        </w:rPr>
        <w:t xml:space="preserve">自研</w:t>
      </w:r>
      <w:r>
        <w:t xml:space="preserve"> | </w:t>
      </w:r>
      <w:r>
        <w:rPr>
          <w:rFonts w:hint="eastAsia"/>
        </w:rPr>
        <w:t xml:space="preserve">MVP可MLflow；规模化与多团队协作再上Kubeflow</w:t>
      </w:r>
      <w:r>
        <w:t xml:space="preserve"> |</w:t>
      </w:r>
      <w:r>
        <w:t xml:space="preserve"> </w:t>
      </w:r>
      <w:r>
        <w:t xml:space="preserve">| </w:t>
      </w:r>
      <w:r>
        <w:rPr>
          <w:rFonts w:hint="eastAsia"/>
        </w:rPr>
        <w:t xml:space="preserve">在线推理</w:t>
      </w:r>
      <w:r>
        <w:t xml:space="preserve"> | KServe | Triton Inference Server | </w:t>
      </w:r>
      <w:r>
        <w:rPr>
          <w:rFonts w:hint="eastAsia"/>
        </w:rPr>
        <w:t xml:space="preserve">自研FastAPI/gRPC</w:t>
      </w:r>
      <w:r>
        <w:t xml:space="preserve"> | </w:t>
      </w:r>
      <w:r>
        <w:rPr>
          <w:rFonts w:hint="eastAsia"/>
        </w:rPr>
        <w:t xml:space="preserve">MVP可自研+限流；多模型多框架与GPU池化再考虑Triton/KServe</w:t>
      </w:r>
      <w:r>
        <w:t xml:space="preserve"> |</w:t>
      </w:r>
      <w:r>
        <w:t xml:space="preserve"> </w:t>
      </w:r>
      <w:r>
        <w:t xml:space="preserve">| </w:t>
      </w:r>
      <w:r>
        <w:rPr>
          <w:rFonts w:hint="eastAsia"/>
        </w:rPr>
        <w:t xml:space="preserve">账本/区块链（可选）</w:t>
      </w:r>
      <w:r>
        <w:t xml:space="preserve"> | Hyperledger Fabric | FISCO BCOS | </w:t>
      </w:r>
      <w:r>
        <w:rPr>
          <w:rFonts w:hint="eastAsia"/>
        </w:rPr>
        <w:t xml:space="preserve">传统不可篡改日志（WORM/哈希链）</w:t>
      </w:r>
      <w:r>
        <w:t xml:space="preserve"> | </w:t>
      </w:r>
      <w:r>
        <w:rPr>
          <w:rFonts w:hint="eastAsia"/>
        </w:rPr>
        <w:t xml:space="preserve">若仅存证与审计，优先“WORM+哈希链”降低复杂度；多方协同强需求再引入联盟链</w:t>
      </w:r>
      <w:r>
        <w:t xml:space="preserve"> |</w:t>
      </w:r>
    </w:p>
    <w:p>
      <w:pPr>
        <w:pStyle w:val="BodyText"/>
      </w:pPr>
      <w:r>
        <w:rPr>
          <w:rFonts w:hint="eastAsia"/>
        </w:rPr>
        <w:t xml:space="preserve">结论与可执行建议：架构设计务必把“规则版本化、数据时序化、审计可追溯、模型可治理”当作一等公民；撮合引擎在市场主体侧更适合做“仿真与策略回测”，真正的市场出清需以合规合作方式推进；区块链优先作为“可选存证层”，避免在MVP阶段引入不必要的复杂度。</w:t>
      </w:r>
      <w:hyperlink r:id="rId23">
        <w:r>
          <w:rPr>
            <w:rStyle w:val="Hyperlink"/>
          </w:rPr>
          <w:t xml:space="preserve">[72]</w:t>
        </w:r>
      </w:hyperlink>
    </w:p>
    <w:bookmarkEnd w:id="56"/>
    <w:bookmarkStart w:id="58" w:name="合规与安全"/>
    <w:p>
      <w:pPr>
        <w:pStyle w:val="Heading2"/>
      </w:pPr>
      <w:r>
        <w:rPr>
          <w:rFonts w:hint="eastAsia"/>
        </w:rPr>
        <w:t xml:space="preserve">合规与安全</w:t>
      </w:r>
    </w:p>
    <w:p>
      <w:pPr>
        <w:pStyle w:val="FirstParagraph"/>
      </w:pPr>
      <w:r>
        <w:rPr>
          <w:rFonts w:hint="eastAsia"/>
        </w:rPr>
        <w:t xml:space="preserve">电力交易软件的合规与安全需要同时满足“电力监管合规</w:t>
      </w:r>
      <w:r>
        <w:t xml:space="preserve"> + </w:t>
      </w:r>
      <w:r>
        <w:rPr>
          <w:rFonts w:hint="eastAsia"/>
        </w:rPr>
        <w:t xml:space="preserve">数据合规</w:t>
      </w:r>
      <w:r>
        <w:t xml:space="preserve"> + </w:t>
      </w:r>
      <w:r>
        <w:rPr>
          <w:rFonts w:hint="eastAsia"/>
        </w:rPr>
        <w:t xml:space="preserve">网络与关基安全”。市场运行基本规则要求建立风险防控机制，电力市场信息披露强调真实性、封存与监督；而电力监控系统安全防护规定（2024年第27号令）与关键信息基础设施安全保护条例共同构成了“涉电力监控/调度数据系统”的高压合规框架。</w:t>
      </w:r>
      <w:hyperlink r:id="rId24">
        <w:r>
          <w:rPr>
            <w:rStyle w:val="Hyperlink"/>
          </w:rPr>
          <w:t xml:space="preserve">[73]</w:t>
        </w:r>
      </w:hyperlink>
    </w:p>
    <w:p>
      <w:pPr>
        <w:pStyle w:val="BodyText"/>
      </w:pPr>
      <w:r>
        <w:rPr>
          <w:rFonts w:hint="eastAsia"/>
        </w:rPr>
        <w:t xml:space="preserve">监管与业务合规要点：</w:t>
      </w:r>
      <w:r>
        <w:br/>
      </w:r>
      <w:r>
        <w:t xml:space="preserve">- </w:t>
      </w:r>
      <w:r>
        <w:rPr>
          <w:rFonts w:hint="eastAsia"/>
        </w:rPr>
        <w:t xml:space="preserve">市场主体身份与注册：注册基本规则强调交易机构公平公开受理注册，不得设置歧视性条件；且新型主体（储能、VPP、微电网等）被纳入经营主体范围，这意味着你的产品若服务这些主体，需要支持其注册信息与资质材料管理、以及不同主体的准入条件校验。</w:t>
      </w:r>
      <w:hyperlink r:id="rId35">
        <w:r>
          <w:rPr>
            <w:rStyle w:val="Hyperlink"/>
          </w:rPr>
          <w:t xml:space="preserve">[74]</w:t>
        </w:r>
      </w:hyperlink>
      <w:r>
        <w:br/>
      </w:r>
      <w:r>
        <w:t xml:space="preserve">- </w:t>
      </w:r>
      <w:r>
        <w:rPr>
          <w:rFonts w:hint="eastAsia"/>
        </w:rPr>
        <w:t xml:space="preserve">信息披露与数据接口：信息披露规则构建“全市场、全品种、全周期、全主体”体系，将信息分为公众/公开/特定三类，并要求交易机构统一负责披露平台与标准格式、接口服务，这决定了你在数据接入与对外展示上的边界（哪些可以公开、哪些必须授权、哪些必须封存）。</w:t>
      </w:r>
      <w:hyperlink r:id="rId27">
        <w:r>
          <w:rPr>
            <w:rStyle w:val="Hyperlink"/>
          </w:rPr>
          <w:t xml:space="preserve">[21]</w:t>
        </w:r>
      </w:hyperlink>
      <w:r>
        <w:br/>
      </w:r>
      <w:r>
        <w:t xml:space="preserve">- </w:t>
      </w:r>
      <w:r>
        <w:rPr>
          <w:rFonts w:hint="eastAsia"/>
        </w:rPr>
        <w:t xml:space="preserve">计量结算：计量结算基本规则发布背景指出各地计量管理要求不规范、流程衔接不顺畅等问题，电费结算不及时等将带来经营风险，软件需强化“对账、差异定位、证据链留存”。</w:t>
      </w:r>
      <w:hyperlink r:id="rId55">
        <w:r>
          <w:rPr>
            <w:rStyle w:val="Hyperlink"/>
          </w:rPr>
          <w:t xml:space="preserve">[75]</w:t>
        </w:r>
      </w:hyperlink>
    </w:p>
    <w:p>
      <w:pPr>
        <w:pStyle w:val="BodyText"/>
      </w:pPr>
      <w:r>
        <w:rPr>
          <w:rFonts w:hint="eastAsia"/>
        </w:rPr>
        <w:t xml:space="preserve">数据与网络安全要点：</w:t>
      </w:r>
      <w:r>
        <w:br/>
      </w:r>
      <w:r>
        <w:t xml:space="preserve">- </w:t>
      </w:r>
      <w:r>
        <w:rPr>
          <w:rFonts w:hint="eastAsia"/>
        </w:rPr>
        <w:t xml:space="preserve">个人信息与数据安全：个人信息保护法、数据安全法、网络安全法为通用底座，要求将个人信息处理、数据分级分类、最小必要、访问控制与安全事件处置纳入制度化流程。</w:t>
      </w:r>
      <w:hyperlink r:id="rId31">
        <w:r>
          <w:rPr>
            <w:rStyle w:val="Hyperlink"/>
          </w:rPr>
          <w:t xml:space="preserve">[76]</w:t>
        </w:r>
      </w:hyperlink>
      <w:r>
        <w:br/>
      </w:r>
      <w:r>
        <w:t xml:space="preserve">- </w:t>
      </w:r>
      <w:r>
        <w:rPr>
          <w:rFonts w:hint="eastAsia"/>
        </w:rPr>
        <w:t xml:space="preserve">等保与关基：关键信息基础设施安全保护条例明确能源等重要行业领域属于关键信息基础设施重点保护范围，并要求在等级保护基础上采取保护措施；等保2.0核心标准（GB/T</w:t>
      </w:r>
      <w:r>
        <w:t xml:space="preserve"> </w:t>
      </w:r>
      <w:r>
        <w:rPr>
          <w:rFonts w:hint="eastAsia"/>
        </w:rPr>
        <w:t xml:space="preserve">22239-2019）为“控制点清单”提供参考框架。</w:t>
      </w:r>
      <w:hyperlink r:id="rId57">
        <w:r>
          <w:rPr>
            <w:rStyle w:val="Hyperlink"/>
          </w:rPr>
          <w:t xml:space="preserve">[77]</w:t>
        </w:r>
      </w:hyperlink>
      <w:r>
        <w:br/>
      </w:r>
      <w:r>
        <w:t xml:space="preserve">- </w:t>
      </w:r>
      <w:r>
        <w:rPr>
          <w:rFonts w:hint="eastAsia"/>
        </w:rPr>
        <w:t xml:space="preserve">电力监控系统安全：2024修订版电力监控系统安全防护规定明确适用范围，并强调与网络安全法、关基条例衔接；历史版本中提出“安全分区、网络专用、横向隔离、纵向认证”原则，这对任何试图接入SCADA/EMS/调度数据网的系统都是硬约束。</w:t>
      </w:r>
      <w:hyperlink r:id="rId28">
        <w:r>
          <w:rPr>
            <w:rStyle w:val="Hyperlink"/>
          </w:rPr>
          <w:t xml:space="preserve">[78]</w:t>
        </w:r>
      </w:hyperlink>
    </w:p>
    <w:p>
      <w:pPr>
        <w:pStyle w:val="BodyText"/>
      </w:pPr>
      <w:r>
        <w:rPr>
          <w:rFonts w:hint="eastAsia"/>
          <w:b/>
          <w:bCs/>
        </w:rPr>
        <w:t xml:space="preserve">关键KPI与评估方法（建议同时覆盖业务、模型与系统）</w:t>
      </w:r>
      <w:r>
        <w:br/>
      </w:r>
      <w:r>
        <w:t xml:space="preserve">| </w:t>
      </w:r>
      <w:r>
        <w:rPr>
          <w:rFonts w:hint="eastAsia"/>
        </w:rPr>
        <w:t xml:space="preserve">KPI类别</w:t>
      </w:r>
      <w:r>
        <w:t xml:space="preserve"> | </w:t>
      </w:r>
      <w:r>
        <w:rPr>
          <w:rFonts w:hint="eastAsia"/>
        </w:rPr>
        <w:t xml:space="preserve">指标示例</w:t>
      </w:r>
      <w:r>
        <w:t xml:space="preserve"> | </w:t>
      </w:r>
      <w:r>
        <w:rPr>
          <w:rFonts w:hint="eastAsia"/>
        </w:rPr>
        <w:t xml:space="preserve">评估方法与频率</w:t>
      </w:r>
      <w:r>
        <w:t xml:space="preserve"> | </w:t>
      </w:r>
      <w:r>
        <w:rPr>
          <w:rFonts w:hint="eastAsia"/>
        </w:rPr>
        <w:t xml:space="preserve">目标设定建议</w:t>
      </w:r>
      <w:r>
        <w:t xml:space="preserve"> |</w:t>
      </w:r>
      <w:r>
        <w:t xml:space="preserve"> </w:t>
      </w:r>
      <w:r>
        <w:t xml:space="preserve">|---|---|---|---|</w:t>
      </w:r>
      <w:r>
        <w:t xml:space="preserve"> </w:t>
      </w:r>
      <w:r>
        <w:t xml:space="preserve">| </w:t>
      </w:r>
      <w:r>
        <w:rPr>
          <w:rFonts w:hint="eastAsia"/>
        </w:rPr>
        <w:t xml:space="preserve">交易执行</w:t>
      </w:r>
      <w:r>
        <w:t xml:space="preserve"> | </w:t>
      </w:r>
      <w:r>
        <w:rPr>
          <w:rFonts w:hint="eastAsia"/>
        </w:rPr>
        <w:t xml:space="preserve">申报准时率、回执成功率、交易/申报差错率</w:t>
      </w:r>
      <w:r>
        <w:t xml:space="preserve"> | </w:t>
      </w:r>
      <w:r>
        <w:rPr>
          <w:rFonts w:hint="eastAsia"/>
        </w:rPr>
        <w:t xml:space="preserve">日/周；与交易中心回执对账</w:t>
      </w:r>
      <w:r>
        <w:t xml:space="preserve"> | </w:t>
      </w:r>
      <w:r>
        <w:rPr>
          <w:rFonts w:hint="eastAsia"/>
        </w:rPr>
        <w:t xml:space="preserve">MVP阶段以“零差错+高准时”优先</w:t>
      </w:r>
      <w:r>
        <w:t xml:space="preserve"> |</w:t>
      </w:r>
      <w:r>
        <w:t xml:space="preserve"> </w:t>
      </w:r>
      <w:r>
        <w:t xml:space="preserve">| </w:t>
      </w:r>
      <w:r>
        <w:rPr>
          <w:rFonts w:hint="eastAsia"/>
        </w:rPr>
        <w:t xml:space="preserve">风险与结算</w:t>
      </w:r>
      <w:r>
        <w:t xml:space="preserve"> | </w:t>
      </w:r>
      <w:r>
        <w:rPr>
          <w:rFonts w:hint="eastAsia"/>
        </w:rPr>
        <w:t xml:space="preserve">偏差预测误差、偏差成本降低比例、对账差异关闭时长</w:t>
      </w:r>
      <w:r>
        <w:t xml:space="preserve"> | </w:t>
      </w:r>
      <w:r>
        <w:rPr>
          <w:rFonts w:hint="eastAsia"/>
        </w:rPr>
        <w:t xml:space="preserve">月；以结算账单为准；A/B对比</w:t>
      </w:r>
      <w:r>
        <w:t xml:space="preserve"> | </w:t>
      </w:r>
      <w:r>
        <w:rPr>
          <w:rFonts w:hint="eastAsia"/>
        </w:rPr>
        <w:t xml:space="preserve">以“可核验节省金额”作为销售抓手</w:t>
      </w:r>
      <w:hyperlink r:id="rId55">
        <w:r>
          <w:rPr>
            <w:rStyle w:val="Hyperlink"/>
          </w:rPr>
          <w:t xml:space="preserve">[79]</w:t>
        </w:r>
      </w:hyperlink>
      <w:r>
        <w:t xml:space="preserve"> </w:t>
      </w:r>
      <w:r>
        <w:t xml:space="preserve">|</w:t>
      </w:r>
      <w:r>
        <w:t xml:space="preserve"> </w:t>
      </w:r>
      <w:r>
        <w:t xml:space="preserve">| </w:t>
      </w:r>
      <w:r>
        <w:rPr>
          <w:rFonts w:hint="eastAsia"/>
        </w:rPr>
        <w:t xml:space="preserve">预测模型</w:t>
      </w:r>
      <w:r>
        <w:t xml:space="preserve"> | </w:t>
      </w:r>
      <w:r>
        <w:rPr>
          <w:rFonts w:hint="eastAsia"/>
        </w:rPr>
        <w:t xml:space="preserve">负荷MAPE、价格RMSE、风光预测分位数覆盖率PICP</w:t>
      </w:r>
      <w:r>
        <w:t xml:space="preserve"> | </w:t>
      </w:r>
      <w:r>
        <w:rPr>
          <w:rFonts w:hint="eastAsia"/>
        </w:rPr>
        <w:t xml:space="preserve">日/周；滚动窗口；极端天气单独统计</w:t>
      </w:r>
      <w:r>
        <w:t xml:space="preserve"> | </w:t>
      </w:r>
      <w:r>
        <w:rPr>
          <w:rFonts w:hint="eastAsia"/>
        </w:rPr>
        <w:t xml:space="preserve">引入漂移监控与回滚门槛</w:t>
      </w:r>
      <w:hyperlink r:id="rId46">
        <w:r>
          <w:rPr>
            <w:rStyle w:val="Hyperlink"/>
          </w:rPr>
          <w:t xml:space="preserve">[47]</w:t>
        </w:r>
      </w:hyperlink>
      <w:r>
        <w:t xml:space="preserve"> </w:t>
      </w:r>
      <w:r>
        <w:t xml:space="preserve">|</w:t>
      </w:r>
      <w:r>
        <w:t xml:space="preserve"> </w:t>
      </w:r>
      <w:r>
        <w:t xml:space="preserve">| </w:t>
      </w:r>
      <w:r>
        <w:rPr>
          <w:rFonts w:hint="eastAsia"/>
        </w:rPr>
        <w:t xml:space="preserve">优化效果</w:t>
      </w:r>
      <w:r>
        <w:t xml:space="preserve"> | </w:t>
      </w:r>
      <w:r>
        <w:rPr>
          <w:rFonts w:hint="eastAsia"/>
        </w:rPr>
        <w:t xml:space="preserve">储能套利收益提升、辅助服务收益提升、VPP响应履约率</w:t>
      </w:r>
      <w:r>
        <w:t xml:space="preserve"> | </w:t>
      </w:r>
      <w:r>
        <w:rPr>
          <w:rFonts w:hint="eastAsia"/>
        </w:rPr>
        <w:t xml:space="preserve">月/季度；与财务结算闭环</w:t>
      </w:r>
      <w:r>
        <w:t xml:space="preserve"> | </w:t>
      </w:r>
      <w:r>
        <w:rPr>
          <w:rFonts w:hint="eastAsia"/>
        </w:rPr>
        <w:t xml:space="preserve">先用仿真收益，后用真实收益验证</w:t>
      </w:r>
      <w:hyperlink r:id="rId44">
        <w:r>
          <w:rPr>
            <w:rStyle w:val="Hyperlink"/>
          </w:rPr>
          <w:t xml:space="preserve">[50]</w:t>
        </w:r>
      </w:hyperlink>
      <w:r>
        <w:t xml:space="preserve"> </w:t>
      </w:r>
      <w:r>
        <w:t xml:space="preserve">|</w:t>
      </w:r>
      <w:r>
        <w:t xml:space="preserve"> </w:t>
      </w:r>
      <w:r>
        <w:t xml:space="preserve">| </w:t>
      </w:r>
      <w:r>
        <w:rPr>
          <w:rFonts w:hint="eastAsia"/>
        </w:rPr>
        <w:t xml:space="preserve">系统可靠性</w:t>
      </w:r>
      <w:r>
        <w:t xml:space="preserve"> | </w:t>
      </w:r>
      <w:r>
        <w:rPr>
          <w:rFonts w:hint="eastAsia"/>
        </w:rPr>
        <w:t xml:space="preserve">可用性（SLA）、核心链路延迟、RPO/RTO、告警MTTA/MTTR</w:t>
      </w:r>
      <w:r>
        <w:t xml:space="preserve"> | </w:t>
      </w:r>
      <w:r>
        <w:rPr>
          <w:rFonts w:hint="eastAsia"/>
        </w:rPr>
        <w:t xml:space="preserve">实时/周报；SRE仪表盘</w:t>
      </w:r>
      <w:r>
        <w:t xml:space="preserve"> | </w:t>
      </w:r>
      <w:r>
        <w:rPr>
          <w:rFonts w:hint="eastAsia"/>
        </w:rPr>
        <w:t xml:space="preserve">关键链路（申报/对账）优先SLA</w:t>
      </w:r>
      <w:r>
        <w:t xml:space="preserve"> |</w:t>
      </w:r>
      <w:r>
        <w:t xml:space="preserve"> </w:t>
      </w:r>
      <w:r>
        <w:t xml:space="preserve">| </w:t>
      </w:r>
      <w:r>
        <w:rPr>
          <w:rFonts w:hint="eastAsia"/>
        </w:rPr>
        <w:t xml:space="preserve">合规与安全</w:t>
      </w:r>
      <w:r>
        <w:t xml:space="preserve"> | </w:t>
      </w:r>
      <w:r>
        <w:rPr>
          <w:rFonts w:hint="eastAsia"/>
        </w:rPr>
        <w:t xml:space="preserve">审计覆盖率、敏感数据访问违规次数、安全事件数</w:t>
      </w:r>
      <w:r>
        <w:t xml:space="preserve"> | </w:t>
      </w:r>
      <w:r>
        <w:rPr>
          <w:rFonts w:hint="eastAsia"/>
        </w:rPr>
        <w:t xml:space="preserve">月/季度；审计报告</w:t>
      </w:r>
      <w:r>
        <w:t xml:space="preserve"> | </w:t>
      </w:r>
      <w:r>
        <w:rPr>
          <w:rFonts w:hint="eastAsia"/>
        </w:rPr>
        <w:t xml:space="preserve">与披露、封存、追溯要求对齐</w:t>
      </w:r>
      <w:hyperlink r:id="rId27">
        <w:r>
          <w:rPr>
            <w:rStyle w:val="Hyperlink"/>
          </w:rPr>
          <w:t xml:space="preserve">[60]</w:t>
        </w:r>
      </w:hyperlink>
      <w:r>
        <w:t xml:space="preserve"> </w:t>
      </w:r>
      <w:r>
        <w:t xml:space="preserve">|</w:t>
      </w:r>
    </w:p>
    <w:p>
      <w:pPr>
        <w:pStyle w:val="BodyText"/>
      </w:pPr>
      <w:r>
        <w:rPr>
          <w:rFonts w:hint="eastAsia"/>
        </w:rPr>
        <w:t xml:space="preserve">结论与可执行建议：合规设计必须前置到架构层，建议采用“数据分域+最小权限+全链路审计+可封存证据链”的默认策略；若未来需要接入电力监控系统数据，必须以专网/隔离/认证为前提，并将等保与关基要求纳入项目里程碑与验收标准。</w:t>
      </w:r>
      <w:hyperlink r:id="rId28">
        <w:r>
          <w:rPr>
            <w:rStyle w:val="Hyperlink"/>
          </w:rPr>
          <w:t xml:space="preserve">[80]</w:t>
        </w:r>
      </w:hyperlink>
    </w:p>
    <w:bookmarkEnd w:id="58"/>
    <w:bookmarkStart w:id="70" w:name="商业模式路线图团队成本与风险"/>
    <w:p>
      <w:pPr>
        <w:pStyle w:val="Heading2"/>
      </w:pPr>
      <w:r>
        <w:rPr>
          <w:rFonts w:hint="eastAsia"/>
        </w:rPr>
        <w:t xml:space="preserve">商业模式、路线图、团队成本与风险</w:t>
      </w:r>
    </w:p>
    <w:p>
      <w:pPr>
        <w:pStyle w:val="FirstParagraph"/>
      </w:pPr>
      <w:r>
        <w:rPr>
          <w:rFonts w:hint="eastAsia"/>
        </w:rPr>
        <w:t xml:space="preserve">商业模式建议采用“交易+数据+AI订阅”的组合，以适配电力市场在不同省份的成熟度差异：</w:t>
      </w:r>
      <w:r>
        <w:br/>
      </w:r>
      <w:r>
        <w:t xml:space="preserve">- </w:t>
      </w:r>
      <w:r>
        <w:rPr>
          <w:rFonts w:hint="eastAsia"/>
        </w:rPr>
        <w:t xml:space="preserve">交易费/按量收费：更适合你与交易平台深度耦合、能直接影响成交与结算流程的产品形态；但在市场主体侧通常更现实的是“按用户数/资产量/数据量/模型调用量”计费。</w:t>
      </w:r>
      <w:hyperlink r:id="rId23">
        <w:r>
          <w:rPr>
            <w:rStyle w:val="Hyperlink"/>
          </w:rPr>
          <w:t xml:space="preserve">[36]</w:t>
        </w:r>
      </w:hyperlink>
      <w:r>
        <w:br/>
      </w:r>
      <w:r>
        <w:t xml:space="preserve">- </w:t>
      </w:r>
      <w:r>
        <w:rPr>
          <w:rFonts w:hint="eastAsia"/>
        </w:rPr>
        <w:t xml:space="preserve">增值服务：偏差管理、结算对账自动化、风险报告、合规审计包。计量结算规则出台背景已指出电费结算不及时、流程不顺畅等痛点，适合做强ROI增值包。</w:t>
      </w:r>
      <w:hyperlink r:id="rId55">
        <w:r>
          <w:rPr>
            <w:rStyle w:val="Hyperlink"/>
          </w:rPr>
          <w:t xml:space="preserve">[75]</w:t>
        </w:r>
      </w:hyperlink>
      <w:r>
        <w:br/>
      </w:r>
      <w:r>
        <w:t xml:space="preserve">- </w:t>
      </w:r>
      <w:r>
        <w:rPr>
          <w:rFonts w:hint="eastAsia"/>
        </w:rPr>
        <w:t xml:space="preserve">数据服务：市场数据标准化、历史回放、指标与基准、绿电绿证台账与审计报表。信息披露规则强调统一格式与接口服务，为数据产品化提供了政策空间。</w:t>
      </w:r>
      <w:hyperlink r:id="rId27">
        <w:r>
          <w:rPr>
            <w:rStyle w:val="Hyperlink"/>
          </w:rPr>
          <w:t xml:space="preserve">[81]</w:t>
        </w:r>
      </w:hyperlink>
      <w:r>
        <w:br/>
      </w:r>
      <w:r>
        <w:t xml:space="preserve">- </w:t>
      </w:r>
      <w:r>
        <w:rPr>
          <w:rFonts w:hint="eastAsia"/>
        </w:rPr>
        <w:t xml:space="preserve">AI订阅：预测（负荷/价格/风光）与优化（储能/VPP/报价）。同时，AI企业绿电采购与消费证明需求上升，可与绿证台账形成联动产品。</w:t>
      </w:r>
      <w:hyperlink r:id="rId50">
        <w:r>
          <w:rPr>
            <w:rStyle w:val="Hyperlink"/>
          </w:rPr>
          <w:t xml:space="preserve">[82]</w:t>
        </w:r>
      </w:hyperlink>
    </w:p>
    <w:p>
      <w:pPr>
        <w:pStyle w:val="BodyText"/>
      </w:pPr>
      <w:r>
        <w:rPr>
          <w:rFonts w:hint="eastAsia"/>
        </w:rPr>
        <w:t xml:space="preserve">实施路线图与里程碑（按“可验证闭环”组织）：</w:t>
      </w:r>
      <w:r>
        <w:br/>
      </w:r>
      <w:r>
        <w:t xml:space="preserve">- </w:t>
      </w:r>
      <w:r>
        <w:rPr>
          <w:rFonts w:hint="eastAsia"/>
        </w:rPr>
        <w:t xml:space="preserve">里程碑M0（0–2个月）：市场选型与规则适配框架确定（至少覆盖一个省的中长期+现货披露数据口径）；搭建数据采集与审计底座。</w:t>
      </w:r>
      <w:hyperlink r:id="rId27">
        <w:r>
          <w:rPr>
            <w:rStyle w:val="Hyperlink"/>
          </w:rPr>
          <w:t xml:space="preserve">[63]</w:t>
        </w:r>
      </w:hyperlink>
      <w:r>
        <w:br/>
      </w:r>
      <w:r>
        <w:t xml:space="preserve">- </w:t>
      </w:r>
      <w:r>
        <w:rPr>
          <w:rFonts w:hint="eastAsia"/>
        </w:rPr>
        <w:t xml:space="preserve">里程碑M1（2–4个月）：MVP上线（交易工作台+合同台账+负荷/价格基础预测+偏差测算+对账）；完成1–2家客户沙箱验证。</w:t>
      </w:r>
      <w:r>
        <w:br/>
      </w:r>
      <w:r>
        <w:t xml:space="preserve">- </w:t>
      </w:r>
      <w:r>
        <w:rPr>
          <w:rFonts w:hint="eastAsia"/>
        </w:rPr>
        <w:t xml:space="preserve">里程碑M2（4–7个月）：加入“结算对账自动化+异常检测+策略回测”；以真实结算账单验证节省金额。</w:t>
      </w:r>
      <w:hyperlink r:id="rId55">
        <w:r>
          <w:rPr>
            <w:rStyle w:val="Hyperlink"/>
          </w:rPr>
          <w:t xml:space="preserve">[83]</w:t>
        </w:r>
      </w:hyperlink>
      <w:r>
        <w:br/>
      </w:r>
      <w:r>
        <w:t xml:space="preserve">- </w:t>
      </w:r>
      <w:r>
        <w:rPr>
          <w:rFonts w:hint="eastAsia"/>
        </w:rPr>
        <w:t xml:space="preserve">里程碑M3（7–12个月）：扩展辅助服务与绿电绿证模块；接入储能/VPP优化（先仿真、后实盘）；形成可规模销售的行业模板。</w:t>
      </w:r>
      <w:hyperlink r:id="rId34">
        <w:r>
          <w:rPr>
            <w:rStyle w:val="Hyperlink"/>
          </w:rPr>
          <w:t xml:space="preserve">[84]</w:t>
        </w:r>
      </w:hyperlink>
      <w:r>
        <w:br/>
      </w:r>
      <w:r>
        <w:t xml:space="preserve">- </w:t>
      </w:r>
      <w:r>
        <w:rPr>
          <w:rFonts w:hint="eastAsia"/>
        </w:rPr>
        <w:t xml:space="preserve">里程碑M4（12个月+）：跨省/跨经营区交易支持、更多省份Market</w:t>
      </w:r>
      <w:r>
        <w:t xml:space="preserve"> </w:t>
      </w:r>
      <w:r>
        <w:rPr>
          <w:rFonts w:hint="eastAsia"/>
        </w:rPr>
        <w:t xml:space="preserve">Adapter插件化复制；如进入运营机构级系统，启动第三方校验与更高级别合规设计。</w:t>
      </w:r>
      <w:hyperlink r:id="rId40">
        <w:r>
          <w:rPr>
            <w:rStyle w:val="Hyperlink"/>
          </w:rPr>
          <w:t xml:space="preserve">[85]</w:t>
        </w:r>
      </w:hyperlink>
    </w:p>
    <w:p>
      <w:pPr>
        <w:pStyle w:val="BodyText"/>
      </w:pPr>
      <w:r>
        <w:rPr>
          <w:rFonts w:hint="eastAsia"/>
        </w:rPr>
        <w:t xml:space="preserve">团队与成本估算（区间，按市场主体侧SaaS假设）：</w:t>
      </w:r>
      <w:r>
        <w:br/>
      </w:r>
      <w:r>
        <w:t xml:space="preserve">- </w:t>
      </w:r>
      <w:r>
        <w:rPr>
          <w:rFonts w:hint="eastAsia"/>
        </w:rPr>
        <w:t xml:space="preserve">关键岗位：电力市场产品经理（懂规则与结算）、电力交易/风险专家（可外聘）、后端/数据工程（流处理+时序）、算法工程（预测+优化）、前端、测试、SRE/安全、合规/法务。</w:t>
      </w:r>
      <w:r>
        <w:br/>
      </w:r>
      <w:r>
        <w:t xml:space="preserve">- </w:t>
      </w:r>
      <w:r>
        <w:rPr>
          <w:rFonts w:hint="eastAsia"/>
        </w:rPr>
        <w:t xml:space="preserve">人员规模：MVP期建议12–18人；规模化与多省复制期20–35人。</w:t>
      </w:r>
      <w:r>
        <w:br/>
      </w:r>
      <w:r>
        <w:t xml:space="preserve">- </w:t>
      </w:r>
      <w:r>
        <w:rPr>
          <w:rFonts w:hint="eastAsia"/>
        </w:rPr>
        <w:t xml:space="preserve">预算范围：若采用云原生与托管中间件，首年总投入通常在</w:t>
      </w:r>
      <w:r>
        <w:rPr>
          <w:rFonts w:hint="eastAsia"/>
          <w:b/>
          <w:bCs/>
        </w:rPr>
        <w:t xml:space="preserve">人民币</w:t>
      </w:r>
      <w:r>
        <w:rPr>
          <w:b/>
          <w:bCs/>
        </w:rPr>
        <w:t xml:space="preserve"> </w:t>
      </w:r>
      <w:r>
        <w:rPr>
          <w:rFonts w:hint="eastAsia"/>
          <w:b/>
          <w:bCs/>
        </w:rPr>
        <w:t xml:space="preserve">800万–2500万</w:t>
      </w:r>
      <w:r>
        <w:rPr>
          <w:rFonts w:hint="eastAsia"/>
        </w:rPr>
        <w:t xml:space="preserve">区间（人力为主，叠加云资源、数据采购、合规测评、试点项目交付成本）。若目标升级为“市场运营机构级撮合/出清系统”，预算与周期通常显著增加（常见需要数千万元级与更长交付周期），且合作与准入门槛更高。</w:t>
      </w:r>
      <w:hyperlink r:id="rId23">
        <w:r>
          <w:rPr>
            <w:rStyle w:val="Hyperlink"/>
          </w:rPr>
          <w:t xml:space="preserve">[86]</w:t>
        </w:r>
      </w:hyperlink>
    </w:p>
    <w:p>
      <w:pPr>
        <w:pStyle w:val="BodyText"/>
      </w:pPr>
      <w:r>
        <w:rPr>
          <w:rFonts w:hint="eastAsia"/>
        </w:rPr>
        <w:t xml:space="preserve">主要风险与缓解措施：</w:t>
      </w:r>
      <w:r>
        <w:br/>
      </w:r>
      <w:r>
        <w:t xml:space="preserve">- </w:t>
      </w:r>
      <w:r>
        <w:rPr>
          <w:rFonts w:hint="eastAsia"/>
        </w:rPr>
        <w:t xml:space="preserve">规则迭代与省间差异风险：用“规则版本化+自动化回归用例+省份插件”缓解，并持续跟踪国家层面规则更新（现货、辅助服务、计量结算、信息披露等）。</w:t>
      </w:r>
      <w:hyperlink r:id="rId54">
        <w:r>
          <w:rPr>
            <w:rStyle w:val="Hyperlink"/>
          </w:rPr>
          <w:t xml:space="preserve">[87]</w:t>
        </w:r>
      </w:hyperlink>
      <w:r>
        <w:br/>
      </w:r>
      <w:r>
        <w:t xml:space="preserve">- </w:t>
      </w:r>
      <w:r>
        <w:rPr>
          <w:rFonts w:hint="eastAsia"/>
        </w:rPr>
        <w:t xml:space="preserve">数据获取与质量风险：以信息披露平台与企业自有数据为主，建立数据质量SLA、缺失/异常修复与证据留存。</w:t>
      </w:r>
      <w:hyperlink r:id="rId27">
        <w:r>
          <w:rPr>
            <w:rStyle w:val="Hyperlink"/>
          </w:rPr>
          <w:t xml:space="preserve">[88]</w:t>
        </w:r>
      </w:hyperlink>
      <w:r>
        <w:br/>
      </w:r>
      <w:r>
        <w:t xml:space="preserve">- </w:t>
      </w:r>
      <w:r>
        <w:rPr>
          <w:rFonts w:hint="eastAsia"/>
        </w:rPr>
        <w:t xml:space="preserve">模型失效与极端事件风险：引入漂移监控、极端天气单独评估、保守策略与人工兜底；将模型输出与风险限额联动。</w:t>
      </w:r>
      <w:hyperlink r:id="rId46">
        <w:r>
          <w:rPr>
            <w:rStyle w:val="Hyperlink"/>
          </w:rPr>
          <w:t xml:space="preserve">[89]</w:t>
        </w:r>
      </w:hyperlink>
      <w:r>
        <w:br/>
      </w:r>
      <w:r>
        <w:t xml:space="preserve">- </w:t>
      </w:r>
      <w:r>
        <w:rPr>
          <w:rFonts w:hint="eastAsia"/>
        </w:rPr>
        <w:t xml:space="preserve">安全合规与关基风险：默认不接入生产控制区；若必须接入，按电力监控系统安全防护规定实施分区隔离与认证，并完成等保控制点落地。</w:t>
      </w:r>
      <w:hyperlink r:id="rId28">
        <w:r>
          <w:rPr>
            <w:rStyle w:val="Hyperlink"/>
          </w:rPr>
          <w:t xml:space="preserve">[90]</w:t>
        </w:r>
      </w:hyperlink>
      <w:r>
        <w:br/>
      </w:r>
      <w:r>
        <w:t xml:space="preserve">- </w:t>
      </w:r>
      <w:r>
        <w:rPr>
          <w:rFonts w:hint="eastAsia"/>
        </w:rPr>
        <w:t xml:space="preserve">商业化验证周期风险：优先交付“结算可核验节省金额”的功能（偏差/对账/策略回测），缩短销售闭环；选择现货连续结算成熟省份试点，提高验证效率。</w:t>
      </w:r>
      <w:hyperlink r:id="rId26">
        <w:r>
          <w:rPr>
            <w:rStyle w:val="Hyperlink"/>
          </w:rPr>
          <w:t xml:space="preserve">[91]</w:t>
        </w:r>
      </w:hyperlink>
    </w:p>
    <w:p>
      <w:pPr>
        <w:pStyle w:val="BodyText"/>
      </w:pPr>
      <w:r>
        <w:rPr>
          <w:rFonts w:hint="eastAsia"/>
          <w:b/>
          <w:bCs/>
        </w:rPr>
        <w:t xml:space="preserve">参考资料与优先级来源列表（按优先级由高到低）</w:t>
      </w:r>
      <w:r>
        <w:br/>
      </w:r>
      <w:r>
        <w:t xml:space="preserve">- </w:t>
      </w:r>
      <w:r>
        <w:rPr>
          <w:rFonts w:hint="eastAsia"/>
        </w:rPr>
        <w:t xml:space="preserve">国家层面政策与规则（最高优先级）：电力市场运行基本规则（2024）</w:t>
      </w:r>
      <w:hyperlink r:id="rId33">
        <w:r>
          <w:rPr>
            <w:rStyle w:val="Hyperlink"/>
          </w:rPr>
          <w:t xml:space="preserve">[17]</w:t>
        </w:r>
      </w:hyperlink>
      <w:r>
        <w:rPr>
          <w:rFonts w:hint="eastAsia"/>
        </w:rPr>
        <w:t xml:space="preserve">；电力现货市场基本规则（试行）（2023）</w:t>
      </w:r>
      <w:hyperlink r:id="rId59">
        <w:r>
          <w:rPr>
            <w:rStyle w:val="Hyperlink"/>
          </w:rPr>
          <w:t xml:space="preserve">[92]</w:t>
        </w:r>
      </w:hyperlink>
      <w:r>
        <w:rPr>
          <w:rFonts w:hint="eastAsia"/>
        </w:rPr>
        <w:t xml:space="preserve">；电力辅助服务市场基本规则（2025）</w:t>
      </w:r>
      <w:hyperlink r:id="rId60">
        <w:r>
          <w:rPr>
            <w:rStyle w:val="Hyperlink"/>
          </w:rPr>
          <w:t xml:space="preserve">[93]</w:t>
        </w:r>
      </w:hyperlink>
      <w:r>
        <w:rPr>
          <w:rFonts w:hint="eastAsia"/>
        </w:rPr>
        <w:t xml:space="preserve">；电力市场注册基本规则（2024）</w:t>
      </w:r>
      <w:hyperlink r:id="rId35">
        <w:r>
          <w:rPr>
            <w:rStyle w:val="Hyperlink"/>
          </w:rPr>
          <w:t xml:space="preserve">[20]</w:t>
        </w:r>
      </w:hyperlink>
      <w:r>
        <w:rPr>
          <w:rFonts w:hint="eastAsia"/>
        </w:rPr>
        <w:t xml:space="preserve">；电力市场信息披露基本规则及权威解读</w:t>
      </w:r>
      <w:hyperlink r:id="rId27">
        <w:r>
          <w:rPr>
            <w:rStyle w:val="Hyperlink"/>
          </w:rPr>
          <w:t xml:space="preserve">[21]</w:t>
        </w:r>
      </w:hyperlink>
      <w:r>
        <w:rPr>
          <w:rFonts w:hint="eastAsia"/>
        </w:rPr>
        <w:t xml:space="preserve">；电力市场计量结算基本规则及权威解读</w:t>
      </w:r>
      <w:hyperlink r:id="rId37">
        <w:r>
          <w:rPr>
            <w:rStyle w:val="Hyperlink"/>
          </w:rPr>
          <w:t xml:space="preserve">[94]</w:t>
        </w:r>
      </w:hyperlink>
      <w:r>
        <w:rPr>
          <w:rFonts w:hint="eastAsia"/>
        </w:rPr>
        <w:t xml:space="preserve">；加快建设全国统一电力市场体系指导意见（2022）</w:t>
      </w:r>
      <w:hyperlink r:id="rId22">
        <w:r>
          <w:rPr>
            <w:rStyle w:val="Hyperlink"/>
          </w:rPr>
          <w:t xml:space="preserve">[15]</w:t>
        </w:r>
      </w:hyperlink>
      <w:r>
        <w:rPr>
          <w:rFonts w:hint="eastAsia"/>
        </w:rPr>
        <w:t xml:space="preserve">；全面加快电力现货市场建设通知（2025）</w:t>
      </w:r>
      <w:hyperlink r:id="rId26">
        <w:r>
          <w:rPr>
            <w:rStyle w:val="Hyperlink"/>
          </w:rPr>
          <w:t xml:space="preserve">[31]</w:t>
        </w:r>
      </w:hyperlink>
      <w:r>
        <w:rPr>
          <w:rFonts w:hint="eastAsia"/>
        </w:rPr>
        <w:t xml:space="preserve">；跨电网经营区常态化电力交易机制方案（2025）</w:t>
      </w:r>
      <w:hyperlink r:id="rId40">
        <w:r>
          <w:rPr>
            <w:rStyle w:val="Hyperlink"/>
          </w:rPr>
          <w:t xml:space="preserve">[95]</w:t>
        </w:r>
      </w:hyperlink>
      <w:r>
        <w:rPr>
          <w:rFonts w:hint="eastAsia"/>
        </w:rPr>
        <w:t xml:space="preserve">；完善全国统一电力市场体系实施意见（2026）与解读</w:t>
      </w:r>
      <w:hyperlink r:id="rId32">
        <w:r>
          <w:rPr>
            <w:rStyle w:val="Hyperlink"/>
          </w:rPr>
          <w:t xml:space="preserve">[96]</w:t>
        </w:r>
      </w:hyperlink>
      <w:r>
        <w:t xml:space="preserve">。</w:t>
      </w:r>
      <w:r>
        <w:br/>
      </w:r>
      <w:r>
        <w:t xml:space="preserve">- </w:t>
      </w:r>
      <w:r>
        <w:rPr>
          <w:rFonts w:hint="eastAsia"/>
        </w:rPr>
        <w:t xml:space="preserve">绿电绿证与需求侧政策（高优先级）：绿电交易试点启动与政策说明</w:t>
      </w:r>
      <w:hyperlink r:id="rId36">
        <w:r>
          <w:rPr>
            <w:rStyle w:val="Hyperlink"/>
          </w:rPr>
          <w:t xml:space="preserve">[97]</w:t>
        </w:r>
      </w:hyperlink>
      <w:r>
        <w:rPr>
          <w:rFonts w:hint="eastAsia"/>
        </w:rPr>
        <w:t xml:space="preserve">；绿证全覆盖通知与解读</w:t>
      </w:r>
      <w:hyperlink r:id="rId61">
        <w:r>
          <w:rPr>
            <w:rStyle w:val="Hyperlink"/>
          </w:rPr>
          <w:t xml:space="preserve">[98]</w:t>
        </w:r>
      </w:hyperlink>
      <w:r>
        <w:rPr>
          <w:rFonts w:hint="eastAsia"/>
        </w:rPr>
        <w:t xml:space="preserve">；电力负荷管理办法（2023）</w:t>
      </w:r>
      <w:hyperlink r:id="rId42">
        <w:r>
          <w:rPr>
            <w:rStyle w:val="Hyperlink"/>
          </w:rPr>
          <w:t xml:space="preserve">[40]</w:t>
        </w:r>
      </w:hyperlink>
      <w:r>
        <w:rPr>
          <w:rFonts w:hint="eastAsia"/>
        </w:rPr>
        <w:t xml:space="preserve">；电力需求侧管理办法（2023）</w:t>
      </w:r>
      <w:hyperlink r:id="rId43">
        <w:r>
          <w:rPr>
            <w:rStyle w:val="Hyperlink"/>
          </w:rPr>
          <w:t xml:space="preserve">[99]</w:t>
        </w:r>
      </w:hyperlink>
      <w:r>
        <w:rPr>
          <w:rFonts w:hint="eastAsia"/>
        </w:rPr>
        <w:t xml:space="preserve">；虚拟电厂政策解读与参与市场机制</w:t>
      </w:r>
      <w:hyperlink r:id="rId48">
        <w:r>
          <w:rPr>
            <w:rStyle w:val="Hyperlink"/>
          </w:rPr>
          <w:t xml:space="preserve">[100]</w:t>
        </w:r>
      </w:hyperlink>
      <w:r>
        <w:t xml:space="preserve">。</w:t>
      </w:r>
      <w:r>
        <w:br/>
      </w:r>
      <w:r>
        <w:t xml:space="preserve">- </w:t>
      </w:r>
      <w:r>
        <w:rPr>
          <w:rFonts w:hint="eastAsia"/>
        </w:rPr>
        <w:t xml:space="preserve">行业报告（中高优先级）：中国新型储能发展报告（2025）</w:t>
      </w:r>
      <w:hyperlink r:id="rId44">
        <w:r>
          <w:rPr>
            <w:rStyle w:val="Hyperlink"/>
          </w:rPr>
          <w:t xml:space="preserve">[43]</w:t>
        </w:r>
      </w:hyperlink>
      <w:r>
        <w:rPr>
          <w:rFonts w:hint="eastAsia"/>
        </w:rPr>
        <w:t xml:space="preserve">；IEA关于中国统一电力市场体系研究</w:t>
      </w:r>
      <w:hyperlink r:id="rId62">
        <w:r>
          <w:rPr>
            <w:rStyle w:val="Hyperlink"/>
          </w:rPr>
          <w:t xml:space="preserve">[101]</w:t>
        </w:r>
      </w:hyperlink>
      <w:r>
        <w:t xml:space="preserve">。</w:t>
      </w:r>
      <w:r>
        <w:br/>
      </w:r>
      <w:r>
        <w:t xml:space="preserve">- </w:t>
      </w:r>
      <w:r>
        <w:rPr>
          <w:rFonts w:hint="eastAsia"/>
        </w:rPr>
        <w:t xml:space="preserve">安全与法律（最高优先级）：个人信息保护法</w:t>
      </w:r>
      <w:hyperlink r:id="rId31">
        <w:r>
          <w:rPr>
            <w:rStyle w:val="Hyperlink"/>
          </w:rPr>
          <w:t xml:space="preserve">[102]</w:t>
        </w:r>
      </w:hyperlink>
      <w:r>
        <w:rPr>
          <w:rFonts w:hint="eastAsia"/>
        </w:rPr>
        <w:t xml:space="preserve">；数据安全法</w:t>
      </w:r>
      <w:hyperlink r:id="rId63">
        <w:r>
          <w:rPr>
            <w:rStyle w:val="Hyperlink"/>
          </w:rPr>
          <w:t xml:space="preserve">[103]</w:t>
        </w:r>
      </w:hyperlink>
      <w:r>
        <w:rPr>
          <w:rFonts w:hint="eastAsia"/>
        </w:rPr>
        <w:t xml:space="preserve">；网络安全法</w:t>
      </w:r>
      <w:hyperlink r:id="rId64">
        <w:r>
          <w:rPr>
            <w:rStyle w:val="Hyperlink"/>
          </w:rPr>
          <w:t xml:space="preserve">[104]</w:t>
        </w:r>
      </w:hyperlink>
      <w:r>
        <w:rPr>
          <w:rFonts w:hint="eastAsia"/>
        </w:rPr>
        <w:t xml:space="preserve">；关键信息基础设施安全保护条例</w:t>
      </w:r>
      <w:hyperlink r:id="rId57">
        <w:r>
          <w:rPr>
            <w:rStyle w:val="Hyperlink"/>
          </w:rPr>
          <w:t xml:space="preserve">[105]</w:t>
        </w:r>
      </w:hyperlink>
      <w:r>
        <w:rPr>
          <w:rFonts w:hint="eastAsia"/>
        </w:rPr>
        <w:t xml:space="preserve">；电力监控系统安全防护规定（2024年第27号令）</w:t>
      </w:r>
      <w:hyperlink r:id="rId65">
        <w:r>
          <w:rPr>
            <w:rStyle w:val="Hyperlink"/>
          </w:rPr>
          <w:t xml:space="preserve">[106]</w:t>
        </w:r>
      </w:hyperlink>
      <w:r>
        <w:rPr>
          <w:rFonts w:hint="eastAsia"/>
        </w:rPr>
        <w:t xml:space="preserve">；等保2.0核心标准GB/T</w:t>
      </w:r>
      <w:r>
        <w:t xml:space="preserve"> 22239-2019</w:t>
      </w:r>
      <w:hyperlink r:id="rId39">
        <w:r>
          <w:rPr>
            <w:rStyle w:val="Hyperlink"/>
          </w:rPr>
          <w:t xml:space="preserve">[107]</w:t>
        </w:r>
      </w:hyperlink>
      <w:r>
        <w:rPr>
          <w:rFonts w:hint="eastAsia"/>
        </w:rPr>
        <w:t xml:space="preserve">；电力法</w:t>
      </w:r>
      <w:hyperlink r:id="rId66">
        <w:r>
          <w:rPr>
            <w:rStyle w:val="Hyperlink"/>
          </w:rPr>
          <w:t xml:space="preserve">[108]</w:t>
        </w:r>
      </w:hyperlink>
      <w:r>
        <w:rPr>
          <w:rFonts w:hint="eastAsia"/>
        </w:rPr>
        <w:t xml:space="preserve">；电力监管条例</w:t>
      </w:r>
      <w:hyperlink r:id="rId67">
        <w:r>
          <w:rPr>
            <w:rStyle w:val="Hyperlink"/>
          </w:rPr>
          <w:t xml:space="preserve">[109]</w:t>
        </w:r>
      </w:hyperlink>
      <w:r>
        <w:t xml:space="preserve">。</w:t>
      </w:r>
      <w:r>
        <w:br/>
      </w:r>
      <w:r>
        <w:t xml:space="preserve">- </w:t>
      </w:r>
      <w:r>
        <w:rPr>
          <w:rFonts w:hint="eastAsia"/>
        </w:rPr>
        <w:t xml:space="preserve">学术与国际AI能源报告（中优先级）：负荷预测深度学习综述与研究方向</w:t>
      </w:r>
      <w:hyperlink r:id="rId46">
        <w:r>
          <w:rPr>
            <w:rStyle w:val="Hyperlink"/>
          </w:rPr>
          <w:t xml:space="preserve">[110]</w:t>
        </w:r>
      </w:hyperlink>
      <w:r>
        <w:rPr>
          <w:rFonts w:hint="eastAsia"/>
        </w:rPr>
        <w:t xml:space="preserve">；短期风电预测综述</w:t>
      </w:r>
      <w:hyperlink r:id="rId52">
        <w:r>
          <w:rPr>
            <w:rStyle w:val="Hyperlink"/>
          </w:rPr>
          <w:t xml:space="preserve">[111]</w:t>
        </w:r>
      </w:hyperlink>
      <w:r>
        <w:rPr>
          <w:rFonts w:hint="eastAsia"/>
        </w:rPr>
        <w:t xml:space="preserve">；电力系统预测与大语言模型综述</w:t>
      </w:r>
      <w:hyperlink r:id="rId49">
        <w:r>
          <w:rPr>
            <w:rStyle w:val="Hyperlink"/>
          </w:rPr>
          <w:t xml:space="preserve">[112]</w:t>
        </w:r>
      </w:hyperlink>
      <w:r>
        <w:rPr>
          <w:rFonts w:hint="eastAsia"/>
        </w:rPr>
        <w:t xml:space="preserve">；IEA能源与AI报告</w:t>
      </w:r>
      <w:hyperlink r:id="rId50">
        <w:r>
          <w:rPr>
            <w:rStyle w:val="Hyperlink"/>
          </w:rPr>
          <w:t xml:space="preserve">[54]</w:t>
        </w:r>
      </w:hyperlink>
      <w:r>
        <w:rPr>
          <w:rFonts w:hint="eastAsia"/>
        </w:rPr>
        <w:t xml:space="preserve">；国际可再生能源署</w:t>
      </w:r>
      <w:hyperlink r:id="rId38">
        <w:r>
          <w:rPr>
            <w:rStyle w:val="Hyperlink"/>
          </w:rPr>
          <w:t xml:space="preserve">[113]</w:t>
        </w:r>
      </w:hyperlink>
      <w:r>
        <w:rPr>
          <w:rFonts w:hint="eastAsia"/>
        </w:rPr>
        <w:t xml:space="preserve">AI与大数据创新简报</w:t>
      </w:r>
      <w:hyperlink r:id="rId68">
        <w:r>
          <w:rPr>
            <w:rStyle w:val="Hyperlink"/>
          </w:rPr>
          <w:t xml:space="preserve">[114]</w:t>
        </w:r>
      </w:hyperlink>
      <w:r>
        <w:t xml:space="preserve">。</w:t>
      </w:r>
    </w:p>
    <w:p>
      <w:pPr>
        <w:pStyle w:val="BodyText"/>
      </w:pPr>
      <w:r>
        <w:rPr>
          <w:rFonts w:hint="eastAsia"/>
        </w:rPr>
        <w:t xml:space="preserve">结论与可执行建议：商业上以“可核验ROI”打穿首批客户（偏差/对账/预测/策略回测），技术上以“数据与规则底座”承载多省复制，合规上把“分域隔离+审计封存+等保映射”作为产品能力对外售卖（尤其面向大型用能企业与能源集团），从而在电力与AI两端需求共同增长的周期中建立可持续护城河。</w:t>
      </w:r>
      <w:hyperlink r:id="rId69">
        <w:r>
          <w:rPr>
            <w:rStyle w:val="Hyperlink"/>
          </w:rPr>
          <w:t xml:space="preserve">[115]</w:t>
        </w:r>
      </w:hyperlink>
    </w:p>
    <w:bookmarkEnd w:id="70"/>
    <w:bookmarkEnd w:id="71"/>
    <w:bookmarkEnd w:id="72"/>
    <w:p>
      <w:r>
        <w:pict>
          <v:rect style="width:0;height:1.5pt" o:hralign="center" o:hrstd="t" o:hr="t"/>
        </w:pict>
      </w:r>
    </w:p>
    <w:bookmarkStart w:id="73" w:name="citations"/>
    <w:p>
      <w:pPr>
        <w:pStyle w:val="FirstParagraph"/>
      </w:pPr>
      <w:hyperlink r:id="rId21">
        <w:r>
          <w:rPr>
            <w:rStyle w:val="Hyperlink"/>
          </w:rPr>
          <w:t xml:space="preserve">[1]</w:t>
        </w:r>
      </w:hyperlink>
      <w:r>
        <w:t xml:space="preserve"> </w:t>
      </w:r>
      <w:hyperlink r:id="rId21">
        <w:r>
          <w:rPr>
            <w:rStyle w:val="Hyperlink"/>
          </w:rPr>
          <w:t xml:space="preserve">[29]</w:t>
        </w:r>
      </w:hyperlink>
      <w:r>
        <w:t xml:space="preserve"> </w:t>
      </w:r>
      <w:r>
        <w:t xml:space="preserve">https://www.nea.gov.cn/2024-06/21/c_1310779169.htm</w:t>
      </w:r>
    </w:p>
    <w:p>
      <w:pPr>
        <w:pStyle w:val="BodyText"/>
      </w:pPr>
      <w:hyperlink r:id="rId21">
        <w:r>
          <w:rPr>
            <w:rStyle w:val="Hyperlink"/>
          </w:rPr>
          <w:t xml:space="preserve">https://www.nea.gov.cn/2024-06/21/c_1310779169.htm</w:t>
        </w:r>
      </w:hyperlink>
    </w:p>
    <w:p>
      <w:pPr>
        <w:pStyle w:val="BodyText"/>
      </w:pPr>
      <w:hyperlink r:id="rId22">
        <w:r>
          <w:rPr>
            <w:rStyle w:val="Hyperlink"/>
          </w:rPr>
          <w:t xml:space="preserve">[2]</w:t>
        </w:r>
      </w:hyperlink>
      <w:r>
        <w:t xml:space="preserve"> </w:t>
      </w:r>
      <w:hyperlink r:id="rId22">
        <w:r>
          <w:rPr>
            <w:rStyle w:val="Hyperlink"/>
          </w:rPr>
          <w:t xml:space="preserve">[15]</w:t>
        </w:r>
      </w:hyperlink>
      <w:r>
        <w:t xml:space="preserve"> </w:t>
      </w:r>
      <w:r>
        <w:t xml:space="preserve">https://www.ndrc.gov.cn/xxgk/zcfb/tz/202201/t20220128_1313653.html</w:t>
      </w:r>
    </w:p>
    <w:p>
      <w:pPr>
        <w:pStyle w:val="BodyText"/>
      </w:pPr>
      <w:hyperlink r:id="rId22">
        <w:r>
          <w:rPr>
            <w:rStyle w:val="Hyperlink"/>
          </w:rPr>
          <w:t xml:space="preserve">https://www.ndrc.gov.cn/xxgk/zcfb/tz/202201/t20220128_1313653.html</w:t>
        </w:r>
      </w:hyperlink>
    </w:p>
    <w:p>
      <w:pPr>
        <w:pStyle w:val="BodyText"/>
      </w:pPr>
      <w:hyperlink r:id="rId23">
        <w:r>
          <w:rPr>
            <w:rStyle w:val="Hyperlink"/>
          </w:rPr>
          <w:t xml:space="preserve">[3]</w:t>
        </w:r>
      </w:hyperlink>
      <w:r>
        <w:t xml:space="preserve"> </w:t>
      </w:r>
      <w:hyperlink r:id="rId23">
        <w:r>
          <w:rPr>
            <w:rStyle w:val="Hyperlink"/>
          </w:rPr>
          <w:t xml:space="preserve">[9]</w:t>
        </w:r>
      </w:hyperlink>
      <w:r>
        <w:t xml:space="preserve"> </w:t>
      </w:r>
      <w:hyperlink r:id="rId23">
        <w:r>
          <w:rPr>
            <w:rStyle w:val="Hyperlink"/>
          </w:rPr>
          <w:t xml:space="preserve">[18]</w:t>
        </w:r>
      </w:hyperlink>
      <w:r>
        <w:t xml:space="preserve"> </w:t>
      </w:r>
      <w:hyperlink r:id="rId23">
        <w:r>
          <w:rPr>
            <w:rStyle w:val="Hyperlink"/>
          </w:rPr>
          <w:t xml:space="preserve">[23]</w:t>
        </w:r>
      </w:hyperlink>
      <w:r>
        <w:t xml:space="preserve"> </w:t>
      </w:r>
      <w:hyperlink r:id="rId23">
        <w:r>
          <w:rPr>
            <w:rStyle w:val="Hyperlink"/>
          </w:rPr>
          <w:t xml:space="preserve">[28]</w:t>
        </w:r>
      </w:hyperlink>
      <w:r>
        <w:t xml:space="preserve"> </w:t>
      </w:r>
      <w:hyperlink r:id="rId23">
        <w:r>
          <w:rPr>
            <w:rStyle w:val="Hyperlink"/>
          </w:rPr>
          <w:t xml:space="preserve">[33]</w:t>
        </w:r>
      </w:hyperlink>
      <w:r>
        <w:t xml:space="preserve"> </w:t>
      </w:r>
      <w:hyperlink r:id="rId23">
        <w:r>
          <w:rPr>
            <w:rStyle w:val="Hyperlink"/>
          </w:rPr>
          <w:t xml:space="preserve">[36]</w:t>
        </w:r>
      </w:hyperlink>
      <w:r>
        <w:t xml:space="preserve"> </w:t>
      </w:r>
      <w:hyperlink r:id="rId23">
        <w:r>
          <w:rPr>
            <w:rStyle w:val="Hyperlink"/>
          </w:rPr>
          <w:t xml:space="preserve">[37]</w:t>
        </w:r>
      </w:hyperlink>
      <w:r>
        <w:t xml:space="preserve"> </w:t>
      </w:r>
      <w:hyperlink r:id="rId23">
        <w:r>
          <w:rPr>
            <w:rStyle w:val="Hyperlink"/>
          </w:rPr>
          <w:t xml:space="preserve">[38]</w:t>
        </w:r>
      </w:hyperlink>
      <w:r>
        <w:t xml:space="preserve"> </w:t>
      </w:r>
      <w:hyperlink r:id="rId23">
        <w:r>
          <w:rPr>
            <w:rStyle w:val="Hyperlink"/>
          </w:rPr>
          <w:t xml:space="preserve">[46]</w:t>
        </w:r>
      </w:hyperlink>
      <w:r>
        <w:t xml:space="preserve"> </w:t>
      </w:r>
      <w:hyperlink r:id="rId23">
        <w:r>
          <w:rPr>
            <w:rStyle w:val="Hyperlink"/>
          </w:rPr>
          <w:t xml:space="preserve">[62]</w:t>
        </w:r>
      </w:hyperlink>
      <w:r>
        <w:t xml:space="preserve"> </w:t>
      </w:r>
      <w:hyperlink r:id="rId23">
        <w:r>
          <w:rPr>
            <w:rStyle w:val="Hyperlink"/>
          </w:rPr>
          <w:t xml:space="preserve">[66]</w:t>
        </w:r>
      </w:hyperlink>
      <w:r>
        <w:t xml:space="preserve"> </w:t>
      </w:r>
      <w:hyperlink r:id="rId23">
        <w:r>
          <w:rPr>
            <w:rStyle w:val="Hyperlink"/>
          </w:rPr>
          <w:t xml:space="preserve">[72]</w:t>
        </w:r>
      </w:hyperlink>
      <w:r>
        <w:t xml:space="preserve"> </w:t>
      </w:r>
      <w:hyperlink r:id="rId23">
        <w:r>
          <w:rPr>
            <w:rStyle w:val="Hyperlink"/>
          </w:rPr>
          <w:t xml:space="preserve">[86]</w:t>
        </w:r>
      </w:hyperlink>
      <w:r>
        <w:t xml:space="preserve"> </w:t>
      </w:r>
      <w:r>
        <w:t xml:space="preserve">https://www.ndrc.gov.cn/xxgk/zcfb/ghxwj/202309/P020230915357678894853.pdf</w:t>
      </w:r>
    </w:p>
    <w:p>
      <w:pPr>
        <w:pStyle w:val="BodyText"/>
      </w:pPr>
      <w:hyperlink r:id="rId23">
        <w:r>
          <w:rPr>
            <w:rStyle w:val="Hyperlink"/>
          </w:rPr>
          <w:t xml:space="preserve">https://www.ndrc.gov.cn/xxgk/zcfb/ghxwj/202309/P020230915357678894853.pdf</w:t>
        </w:r>
      </w:hyperlink>
    </w:p>
    <w:p>
      <w:pPr>
        <w:pStyle w:val="BodyText"/>
      </w:pPr>
      <w:hyperlink r:id="rId24">
        <w:r>
          <w:rPr>
            <w:rStyle w:val="Hyperlink"/>
          </w:rPr>
          <w:t xml:space="preserve">[4]</w:t>
        </w:r>
      </w:hyperlink>
      <w:r>
        <w:t xml:space="preserve"> </w:t>
      </w:r>
      <w:hyperlink r:id="rId24">
        <w:r>
          <w:rPr>
            <w:rStyle w:val="Hyperlink"/>
          </w:rPr>
          <w:t xml:space="preserve">[35]</w:t>
        </w:r>
      </w:hyperlink>
      <w:r>
        <w:t xml:space="preserve"> </w:t>
      </w:r>
      <w:hyperlink r:id="rId24">
        <w:r>
          <w:rPr>
            <w:rStyle w:val="Hyperlink"/>
          </w:rPr>
          <w:t xml:space="preserve">[39]</w:t>
        </w:r>
      </w:hyperlink>
      <w:r>
        <w:t xml:space="preserve"> </w:t>
      </w:r>
      <w:hyperlink r:id="rId24">
        <w:r>
          <w:rPr>
            <w:rStyle w:val="Hyperlink"/>
          </w:rPr>
          <w:t xml:space="preserve">[52]</w:t>
        </w:r>
      </w:hyperlink>
      <w:r>
        <w:t xml:space="preserve"> </w:t>
      </w:r>
      <w:hyperlink r:id="rId24">
        <w:r>
          <w:rPr>
            <w:rStyle w:val="Hyperlink"/>
          </w:rPr>
          <w:t xml:space="preserve">[56]</w:t>
        </w:r>
      </w:hyperlink>
      <w:r>
        <w:t xml:space="preserve"> </w:t>
      </w:r>
      <w:hyperlink r:id="rId24">
        <w:r>
          <w:rPr>
            <w:rStyle w:val="Hyperlink"/>
          </w:rPr>
          <w:t xml:space="preserve">[64]</w:t>
        </w:r>
      </w:hyperlink>
      <w:r>
        <w:t xml:space="preserve"> </w:t>
      </w:r>
      <w:hyperlink r:id="rId24">
        <w:r>
          <w:rPr>
            <w:rStyle w:val="Hyperlink"/>
          </w:rPr>
          <w:t xml:space="preserve">[67]</w:t>
        </w:r>
      </w:hyperlink>
      <w:r>
        <w:t xml:space="preserve"> </w:t>
      </w:r>
      <w:hyperlink r:id="rId24">
        <w:r>
          <w:rPr>
            <w:rStyle w:val="Hyperlink"/>
          </w:rPr>
          <w:t xml:space="preserve">[73]</w:t>
        </w:r>
      </w:hyperlink>
      <w:r>
        <w:t xml:space="preserve"> </w:t>
      </w:r>
      <w:r>
        <w:t xml:space="preserve">https://www.ndrc.gov.cn/xxgk/zcfb/fzggwl/202405/P020240510390953264943.pdf</w:t>
      </w:r>
    </w:p>
    <w:p>
      <w:pPr>
        <w:pStyle w:val="BodyText"/>
      </w:pPr>
      <w:hyperlink r:id="rId24">
        <w:r>
          <w:rPr>
            <w:rStyle w:val="Hyperlink"/>
          </w:rPr>
          <w:t xml:space="preserve">https://www.ndrc.gov.cn/xxgk/zcfb/fzggwl/202405/P020240510390953264943.pdf</w:t>
        </w:r>
      </w:hyperlink>
    </w:p>
    <w:p>
      <w:pPr>
        <w:pStyle w:val="BodyText"/>
      </w:pPr>
      <w:hyperlink r:id="rId25">
        <w:r>
          <w:rPr>
            <w:rStyle w:val="Hyperlink"/>
          </w:rPr>
          <w:t xml:space="preserve">[5]</w:t>
        </w:r>
      </w:hyperlink>
      <w:r>
        <w:t xml:space="preserve"> </w:t>
      </w:r>
      <w:r>
        <w:t xml:space="preserve">https://iea.blob.core.windows.net/assets/dd7c2387-2f60-4b60-8c5f-6563b6aa1e4c/EnergyandAI.pdf</w:t>
      </w:r>
    </w:p>
    <w:p>
      <w:pPr>
        <w:pStyle w:val="BodyText"/>
      </w:pPr>
      <w:hyperlink r:id="rId25">
        <w:r>
          <w:rPr>
            <w:rStyle w:val="Hyperlink"/>
          </w:rPr>
          <w:t xml:space="preserve">https://iea.blob.core.windows.net/assets/dd7c2387-2f60-4b60-8c5f-6563b6aa1e4c/EnergyandAI.pdf</w:t>
        </w:r>
      </w:hyperlink>
    </w:p>
    <w:p>
      <w:pPr>
        <w:pStyle w:val="BodyText"/>
      </w:pPr>
      <w:hyperlink r:id="rId26">
        <w:r>
          <w:rPr>
            <w:rStyle w:val="Hyperlink"/>
          </w:rPr>
          <w:t xml:space="preserve">[6]</w:t>
        </w:r>
      </w:hyperlink>
      <w:r>
        <w:t xml:space="preserve"> </w:t>
      </w:r>
      <w:hyperlink r:id="rId26">
        <w:r>
          <w:rPr>
            <w:rStyle w:val="Hyperlink"/>
          </w:rPr>
          <w:t xml:space="preserve">[10]</w:t>
        </w:r>
      </w:hyperlink>
      <w:r>
        <w:t xml:space="preserve"> </w:t>
      </w:r>
      <w:hyperlink r:id="rId26">
        <w:r>
          <w:rPr>
            <w:rStyle w:val="Hyperlink"/>
          </w:rPr>
          <w:t xml:space="preserve">[31]</w:t>
        </w:r>
      </w:hyperlink>
      <w:r>
        <w:t xml:space="preserve"> </w:t>
      </w:r>
      <w:hyperlink r:id="rId26">
        <w:r>
          <w:rPr>
            <w:rStyle w:val="Hyperlink"/>
          </w:rPr>
          <w:t xml:space="preserve">[45]</w:t>
        </w:r>
      </w:hyperlink>
      <w:r>
        <w:t xml:space="preserve"> </w:t>
      </w:r>
      <w:hyperlink r:id="rId26">
        <w:r>
          <w:rPr>
            <w:rStyle w:val="Hyperlink"/>
          </w:rPr>
          <w:t xml:space="preserve">[91]</w:t>
        </w:r>
      </w:hyperlink>
      <w:r>
        <w:t xml:space="preserve"> </w:t>
      </w:r>
      <w:r>
        <w:t xml:space="preserve">https://www.ndrc.gov.cn/xxgk/zcfb/tz/202504/t20250429_1397488.html</w:t>
      </w:r>
    </w:p>
    <w:p>
      <w:pPr>
        <w:pStyle w:val="BodyText"/>
      </w:pPr>
      <w:hyperlink r:id="rId26">
        <w:r>
          <w:rPr>
            <w:rStyle w:val="Hyperlink"/>
          </w:rPr>
          <w:t xml:space="preserve">https://www.ndrc.gov.cn/xxgk/zcfb/tz/202504/t20250429_1397488.html</w:t>
        </w:r>
      </w:hyperlink>
    </w:p>
    <w:p>
      <w:pPr>
        <w:pStyle w:val="BodyText"/>
      </w:pPr>
      <w:hyperlink r:id="rId27">
        <w:r>
          <w:rPr>
            <w:rStyle w:val="Hyperlink"/>
          </w:rPr>
          <w:t xml:space="preserve">[7]</w:t>
        </w:r>
      </w:hyperlink>
      <w:r>
        <w:t xml:space="preserve"> </w:t>
      </w:r>
      <w:hyperlink r:id="rId27">
        <w:r>
          <w:rPr>
            <w:rStyle w:val="Hyperlink"/>
          </w:rPr>
          <w:t xml:space="preserve">[14]</w:t>
        </w:r>
      </w:hyperlink>
      <w:r>
        <w:t xml:space="preserve"> </w:t>
      </w:r>
      <w:hyperlink r:id="rId27">
        <w:r>
          <w:rPr>
            <w:rStyle w:val="Hyperlink"/>
          </w:rPr>
          <w:t xml:space="preserve">[21]</w:t>
        </w:r>
      </w:hyperlink>
      <w:r>
        <w:t xml:space="preserve"> </w:t>
      </w:r>
      <w:hyperlink r:id="rId27">
        <w:r>
          <w:rPr>
            <w:rStyle w:val="Hyperlink"/>
          </w:rPr>
          <w:t xml:space="preserve">[60]</w:t>
        </w:r>
      </w:hyperlink>
      <w:r>
        <w:t xml:space="preserve"> </w:t>
      </w:r>
      <w:hyperlink r:id="rId27">
        <w:r>
          <w:rPr>
            <w:rStyle w:val="Hyperlink"/>
          </w:rPr>
          <w:t xml:space="preserve">[61]</w:t>
        </w:r>
      </w:hyperlink>
      <w:r>
        <w:t xml:space="preserve"> </w:t>
      </w:r>
      <w:hyperlink r:id="rId27">
        <w:r>
          <w:rPr>
            <w:rStyle w:val="Hyperlink"/>
          </w:rPr>
          <w:t xml:space="preserve">[63]</w:t>
        </w:r>
      </w:hyperlink>
      <w:r>
        <w:t xml:space="preserve"> </w:t>
      </w:r>
      <w:hyperlink r:id="rId27">
        <w:r>
          <w:rPr>
            <w:rStyle w:val="Hyperlink"/>
          </w:rPr>
          <w:t xml:space="preserve">[81]</w:t>
        </w:r>
      </w:hyperlink>
      <w:r>
        <w:t xml:space="preserve"> </w:t>
      </w:r>
      <w:hyperlink r:id="rId27">
        <w:r>
          <w:rPr>
            <w:rStyle w:val="Hyperlink"/>
          </w:rPr>
          <w:t xml:space="preserve">[88]</w:t>
        </w:r>
      </w:hyperlink>
      <w:r>
        <w:t xml:space="preserve"> </w:t>
      </w:r>
      <w:r>
        <w:t xml:space="preserve">https://www.nea.gov.cn/2024-02/07/c_1310763802.htm</w:t>
      </w:r>
    </w:p>
    <w:p>
      <w:pPr>
        <w:pStyle w:val="BodyText"/>
      </w:pPr>
      <w:hyperlink r:id="rId27">
        <w:r>
          <w:rPr>
            <w:rStyle w:val="Hyperlink"/>
          </w:rPr>
          <w:t xml:space="preserve">https://www.nea.gov.cn/2024-02/07/c_1310763802.htm</w:t>
        </w:r>
      </w:hyperlink>
    </w:p>
    <w:p>
      <w:pPr>
        <w:pStyle w:val="BodyText"/>
      </w:pPr>
      <w:hyperlink r:id="rId28">
        <w:r>
          <w:rPr>
            <w:rStyle w:val="Hyperlink"/>
          </w:rPr>
          <w:t xml:space="preserve">[8]</w:t>
        </w:r>
      </w:hyperlink>
      <w:r>
        <w:t xml:space="preserve"> </w:t>
      </w:r>
      <w:hyperlink r:id="rId28">
        <w:r>
          <w:rPr>
            <w:rStyle w:val="Hyperlink"/>
          </w:rPr>
          <w:t xml:space="preserve">[11]</w:t>
        </w:r>
      </w:hyperlink>
      <w:r>
        <w:t xml:space="preserve"> </w:t>
      </w:r>
      <w:hyperlink r:id="rId28">
        <w:r>
          <w:rPr>
            <w:rStyle w:val="Hyperlink"/>
          </w:rPr>
          <w:t xml:space="preserve">[32]</w:t>
        </w:r>
      </w:hyperlink>
      <w:r>
        <w:t xml:space="preserve"> </w:t>
      </w:r>
      <w:hyperlink r:id="rId28">
        <w:r>
          <w:rPr>
            <w:rStyle w:val="Hyperlink"/>
          </w:rPr>
          <w:t xml:space="preserve">[59]</w:t>
        </w:r>
      </w:hyperlink>
      <w:r>
        <w:t xml:space="preserve"> </w:t>
      </w:r>
      <w:hyperlink r:id="rId28">
        <w:r>
          <w:rPr>
            <w:rStyle w:val="Hyperlink"/>
          </w:rPr>
          <w:t xml:space="preserve">[78]</w:t>
        </w:r>
      </w:hyperlink>
      <w:r>
        <w:t xml:space="preserve"> </w:t>
      </w:r>
      <w:hyperlink r:id="rId28">
        <w:r>
          <w:rPr>
            <w:rStyle w:val="Hyperlink"/>
          </w:rPr>
          <w:t xml:space="preserve">[80]</w:t>
        </w:r>
      </w:hyperlink>
      <w:r>
        <w:t xml:space="preserve"> </w:t>
      </w:r>
      <w:hyperlink r:id="rId28">
        <w:r>
          <w:rPr>
            <w:rStyle w:val="Hyperlink"/>
          </w:rPr>
          <w:t xml:space="preserve">[90]</w:t>
        </w:r>
      </w:hyperlink>
      <w:r>
        <w:t xml:space="preserve"> </w:t>
      </w:r>
      <w:r>
        <w:t xml:space="preserve">https://zfxxgk.ndrc.gov.cn/upload/images/202411/20241111172728.pdf</w:t>
      </w:r>
    </w:p>
    <w:p>
      <w:pPr>
        <w:pStyle w:val="BodyText"/>
      </w:pPr>
      <w:hyperlink r:id="rId28">
        <w:r>
          <w:rPr>
            <w:rStyle w:val="Hyperlink"/>
          </w:rPr>
          <w:t xml:space="preserve">https://zfxxgk.ndrc.gov.cn/upload/images/202411/20241111172728.pdf</w:t>
        </w:r>
      </w:hyperlink>
    </w:p>
    <w:p>
      <w:pPr>
        <w:pStyle w:val="BodyText"/>
      </w:pPr>
      <w:hyperlink r:id="rId30">
        <w:r>
          <w:rPr>
            <w:rStyle w:val="Hyperlink"/>
          </w:rPr>
          <w:t xml:space="preserve">[12]</w:t>
        </w:r>
      </w:hyperlink>
      <w:r>
        <w:t xml:space="preserve"> </w:t>
      </w:r>
      <w:r>
        <w:t xml:space="preserve">https://www.nea.gov.cn/download/gssdltzggwjhb1.pdf</w:t>
      </w:r>
    </w:p>
    <w:p>
      <w:pPr>
        <w:pStyle w:val="BodyText"/>
      </w:pPr>
      <w:hyperlink r:id="rId30">
        <w:r>
          <w:rPr>
            <w:rStyle w:val="Hyperlink"/>
          </w:rPr>
          <w:t xml:space="preserve">https://www.nea.gov.cn/download/gssdltzggwjhb1.pdf</w:t>
        </w:r>
      </w:hyperlink>
    </w:p>
    <w:p>
      <w:pPr>
        <w:pStyle w:val="BodyText"/>
      </w:pPr>
      <w:hyperlink r:id="rId31">
        <w:r>
          <w:rPr>
            <w:rStyle w:val="Hyperlink"/>
          </w:rPr>
          <w:t xml:space="preserve">[13]</w:t>
        </w:r>
      </w:hyperlink>
      <w:r>
        <w:t xml:space="preserve"> </w:t>
      </w:r>
      <w:hyperlink r:id="rId31">
        <w:r>
          <w:rPr>
            <w:rStyle w:val="Hyperlink"/>
          </w:rPr>
          <w:t xml:space="preserve">[76]</w:t>
        </w:r>
      </w:hyperlink>
      <w:r>
        <w:t xml:space="preserve"> </w:t>
      </w:r>
      <w:hyperlink r:id="rId31">
        <w:r>
          <w:rPr>
            <w:rStyle w:val="Hyperlink"/>
          </w:rPr>
          <w:t xml:space="preserve">[102]</w:t>
        </w:r>
      </w:hyperlink>
      <w:r>
        <w:t xml:space="preserve"> </w:t>
      </w:r>
      <w:r>
        <w:t xml:space="preserve">https://flk.npc.gov.cn/detail?fileId=&amp;id=ff8081817b6472a3017b656cc2040044&amp;title=%E4%B8%AD%E5%8D%8E%E4%BA%BA%E6%B0%91%E5%85%B1%E5%92%8C%E5%9B%BD%E4%B8%AA%E4%BA%BA%E4%BF%A1%E6%81%AF%E4%BF%9D%E6%8A%A4%E6%B3%95&amp;type=</w:t>
      </w:r>
    </w:p>
    <w:p>
      <w:pPr>
        <w:pStyle w:val="BodyText"/>
      </w:pPr>
      <w:hyperlink r:id="rId31">
        <w:r>
          <w:rPr>
            <w:rStyle w:val="Hyperlink"/>
          </w:rPr>
          <w:t xml:space="preserve">https://flk.npc.gov.cn/detail?fileId=&amp;id=ff8081817b6472a3017b656cc2040044&amp;title=%E4%B8%AD%E5%8D%8E%E4%BA%BA%E6%B0%91%E5%85%B1%E5%92%8C%E5%9B%BD%E4%B8%AA%E4%BA%BA%E4%BF%A1%E6%81%AF%E4%BF%9D%E6%8A%A4%E6%B3%95&amp;type=</w:t>
        </w:r>
      </w:hyperlink>
    </w:p>
    <w:p>
      <w:pPr>
        <w:pStyle w:val="BodyText"/>
      </w:pPr>
      <w:hyperlink r:id="rId32">
        <w:r>
          <w:rPr>
            <w:rStyle w:val="Hyperlink"/>
          </w:rPr>
          <w:t xml:space="preserve">[16]</w:t>
        </w:r>
      </w:hyperlink>
      <w:r>
        <w:t xml:space="preserve"> </w:t>
      </w:r>
      <w:hyperlink r:id="rId32">
        <w:r>
          <w:rPr>
            <w:rStyle w:val="Hyperlink"/>
          </w:rPr>
          <w:t xml:space="preserve">[53]</w:t>
        </w:r>
      </w:hyperlink>
      <w:r>
        <w:t xml:space="preserve"> </w:t>
      </w:r>
      <w:hyperlink r:id="rId32">
        <w:r>
          <w:rPr>
            <w:rStyle w:val="Hyperlink"/>
          </w:rPr>
          <w:t xml:space="preserve">[96]</w:t>
        </w:r>
      </w:hyperlink>
      <w:r>
        <w:t xml:space="preserve"> </w:t>
      </w:r>
      <w:r>
        <w:t xml:space="preserve">https://www.scio.gov.cn/zdgz/jj/202602/t20260212_952499.html</w:t>
      </w:r>
    </w:p>
    <w:p>
      <w:pPr>
        <w:pStyle w:val="BodyText"/>
      </w:pPr>
      <w:hyperlink r:id="rId32">
        <w:r>
          <w:rPr>
            <w:rStyle w:val="Hyperlink"/>
          </w:rPr>
          <w:t xml:space="preserve">https://www.scio.gov.cn/zdgz/jj/202602/t20260212_952499.html</w:t>
        </w:r>
      </w:hyperlink>
    </w:p>
    <w:p>
      <w:pPr>
        <w:pStyle w:val="BodyText"/>
      </w:pPr>
      <w:hyperlink r:id="rId33">
        <w:r>
          <w:rPr>
            <w:rStyle w:val="Hyperlink"/>
          </w:rPr>
          <w:t xml:space="preserve">[17]</w:t>
        </w:r>
      </w:hyperlink>
      <w:r>
        <w:t xml:space="preserve"> </w:t>
      </w:r>
      <w:r>
        <w:t xml:space="preserve">https://www.ndrc.gov.cn/xxgk/zcfb/fzggwl/202405/t20240510_1377245_ext.html</w:t>
      </w:r>
    </w:p>
    <w:p>
      <w:pPr>
        <w:pStyle w:val="BodyText"/>
      </w:pPr>
      <w:hyperlink r:id="rId33">
        <w:r>
          <w:rPr>
            <w:rStyle w:val="Hyperlink"/>
          </w:rPr>
          <w:t xml:space="preserve">https://www.ndrc.gov.cn/xxgk/zcfb/fzggwl/202405/t20240510_1377245_ext.html</w:t>
        </w:r>
      </w:hyperlink>
    </w:p>
    <w:p>
      <w:pPr>
        <w:pStyle w:val="BodyText"/>
      </w:pPr>
      <w:hyperlink r:id="rId34">
        <w:r>
          <w:rPr>
            <w:rStyle w:val="Hyperlink"/>
          </w:rPr>
          <w:t xml:space="preserve">[19]</w:t>
        </w:r>
      </w:hyperlink>
      <w:r>
        <w:t xml:space="preserve"> </w:t>
      </w:r>
      <w:hyperlink r:id="rId34">
        <w:r>
          <w:rPr>
            <w:rStyle w:val="Hyperlink"/>
          </w:rPr>
          <w:t xml:space="preserve">[25]</w:t>
        </w:r>
      </w:hyperlink>
      <w:r>
        <w:t xml:space="preserve"> </w:t>
      </w:r>
      <w:hyperlink r:id="rId34">
        <w:r>
          <w:rPr>
            <w:rStyle w:val="Hyperlink"/>
          </w:rPr>
          <w:t xml:space="preserve">[42]</w:t>
        </w:r>
      </w:hyperlink>
      <w:r>
        <w:t xml:space="preserve"> </w:t>
      </w:r>
      <w:hyperlink r:id="rId34">
        <w:r>
          <w:rPr>
            <w:rStyle w:val="Hyperlink"/>
          </w:rPr>
          <w:t xml:space="preserve">[69]</w:t>
        </w:r>
      </w:hyperlink>
      <w:r>
        <w:t xml:space="preserve"> </w:t>
      </w:r>
      <w:hyperlink r:id="rId34">
        <w:r>
          <w:rPr>
            <w:rStyle w:val="Hyperlink"/>
          </w:rPr>
          <w:t xml:space="preserve">[84]</w:t>
        </w:r>
      </w:hyperlink>
      <w:r>
        <w:t xml:space="preserve"> </w:t>
      </w:r>
      <w:r>
        <w:t xml:space="preserve">https://www.ndrc.gov.cn/xxgk/zcfb/ghxwj/202504/P020250429394923912678.pdf</w:t>
      </w:r>
    </w:p>
    <w:p>
      <w:pPr>
        <w:pStyle w:val="BodyText"/>
      </w:pPr>
      <w:hyperlink r:id="rId34">
        <w:r>
          <w:rPr>
            <w:rStyle w:val="Hyperlink"/>
          </w:rPr>
          <w:t xml:space="preserve">https://www.ndrc.gov.cn/xxgk/zcfb/ghxwj/202504/P020250429394923912678.pdf</w:t>
        </w:r>
      </w:hyperlink>
    </w:p>
    <w:p>
      <w:pPr>
        <w:pStyle w:val="BodyText"/>
      </w:pPr>
      <w:hyperlink r:id="rId35">
        <w:r>
          <w:rPr>
            <w:rStyle w:val="Hyperlink"/>
          </w:rPr>
          <w:t xml:space="preserve">[20]</w:t>
        </w:r>
      </w:hyperlink>
      <w:r>
        <w:t xml:space="preserve"> </w:t>
      </w:r>
      <w:hyperlink r:id="rId35">
        <w:r>
          <w:rPr>
            <w:rStyle w:val="Hyperlink"/>
          </w:rPr>
          <w:t xml:space="preserve">[74]</w:t>
        </w:r>
      </w:hyperlink>
      <w:r>
        <w:t xml:space="preserve"> </w:t>
      </w:r>
      <w:r>
        <w:t xml:space="preserve">https://zfxxgk.nea.gov.cn/2024-09/13/c_1212399683.htm</w:t>
      </w:r>
    </w:p>
    <w:p>
      <w:pPr>
        <w:pStyle w:val="BodyText"/>
      </w:pPr>
      <w:hyperlink r:id="rId35">
        <w:r>
          <w:rPr>
            <w:rStyle w:val="Hyperlink"/>
          </w:rPr>
          <w:t xml:space="preserve">https://zfxxgk.nea.gov.cn/2024-09/13/c_1212399683.htm</w:t>
        </w:r>
      </w:hyperlink>
    </w:p>
    <w:p>
      <w:pPr>
        <w:pStyle w:val="BodyText"/>
      </w:pPr>
      <w:hyperlink r:id="rId36">
        <w:r>
          <w:rPr>
            <w:rStyle w:val="Hyperlink"/>
          </w:rPr>
          <w:t xml:space="preserve">[22]</w:t>
        </w:r>
      </w:hyperlink>
      <w:r>
        <w:t xml:space="preserve"> </w:t>
      </w:r>
      <w:hyperlink r:id="rId36">
        <w:r>
          <w:rPr>
            <w:rStyle w:val="Hyperlink"/>
          </w:rPr>
          <w:t xml:space="preserve">[97]</w:t>
        </w:r>
      </w:hyperlink>
      <w:r>
        <w:t xml:space="preserve"> </w:t>
      </w:r>
      <w:r>
        <w:t xml:space="preserve">https://www.ndrc.gov.cn/fggz/fgzy/xmtjd/202109/t20210928_1298038.html</w:t>
      </w:r>
    </w:p>
    <w:p>
      <w:pPr>
        <w:pStyle w:val="BodyText"/>
      </w:pPr>
      <w:hyperlink r:id="rId36">
        <w:r>
          <w:rPr>
            <w:rStyle w:val="Hyperlink"/>
          </w:rPr>
          <w:t xml:space="preserve">https://www.ndrc.gov.cn/fggz/fgzy/xmtjd/202109/t20210928_1298038.html</w:t>
        </w:r>
      </w:hyperlink>
    </w:p>
    <w:p>
      <w:pPr>
        <w:pStyle w:val="BodyText"/>
      </w:pPr>
      <w:hyperlink r:id="rId37">
        <w:r>
          <w:rPr>
            <w:rStyle w:val="Hyperlink"/>
          </w:rPr>
          <w:t xml:space="preserve">[24]</w:t>
        </w:r>
      </w:hyperlink>
      <w:r>
        <w:t xml:space="preserve"> </w:t>
      </w:r>
      <w:hyperlink r:id="rId37">
        <w:r>
          <w:rPr>
            <w:rStyle w:val="Hyperlink"/>
          </w:rPr>
          <w:t xml:space="preserve">[30]</w:t>
        </w:r>
      </w:hyperlink>
      <w:r>
        <w:t xml:space="preserve"> </w:t>
      </w:r>
      <w:hyperlink r:id="rId37">
        <w:r>
          <w:rPr>
            <w:rStyle w:val="Hyperlink"/>
          </w:rPr>
          <w:t xml:space="preserve">[57]</w:t>
        </w:r>
      </w:hyperlink>
      <w:r>
        <w:t xml:space="preserve"> </w:t>
      </w:r>
      <w:hyperlink r:id="rId37">
        <w:r>
          <w:rPr>
            <w:rStyle w:val="Hyperlink"/>
          </w:rPr>
          <w:t xml:space="preserve">[94]</w:t>
        </w:r>
      </w:hyperlink>
      <w:r>
        <w:t xml:space="preserve"> </w:t>
      </w:r>
      <w:r>
        <w:t xml:space="preserve">https://www.ndrc.gov.cn/xxgk/zcfb/ghxwj/202508/t20250806_1399686.html</w:t>
      </w:r>
    </w:p>
    <w:p>
      <w:pPr>
        <w:pStyle w:val="BodyText"/>
      </w:pPr>
      <w:hyperlink r:id="rId37">
        <w:r>
          <w:rPr>
            <w:rStyle w:val="Hyperlink"/>
          </w:rPr>
          <w:t xml:space="preserve">https://www.ndrc.gov.cn/xxgk/zcfb/ghxwj/202508/t20250806_1399686.html</w:t>
        </w:r>
      </w:hyperlink>
    </w:p>
    <w:p>
      <w:pPr>
        <w:pStyle w:val="BodyText"/>
      </w:pPr>
      <w:hyperlink r:id="rId38">
        <w:r>
          <w:rPr>
            <w:rStyle w:val="Hyperlink"/>
          </w:rPr>
          <w:t xml:space="preserve">[26]</w:t>
        </w:r>
      </w:hyperlink>
      <w:r>
        <w:t xml:space="preserve"> </w:t>
      </w:r>
      <w:hyperlink r:id="rId38">
        <w:r>
          <w:rPr>
            <w:rStyle w:val="Hyperlink"/>
          </w:rPr>
          <w:t xml:space="preserve">[44]</w:t>
        </w:r>
      </w:hyperlink>
      <w:r>
        <w:t xml:space="preserve"> </w:t>
      </w:r>
      <w:hyperlink r:id="rId38">
        <w:r>
          <w:rPr>
            <w:rStyle w:val="Hyperlink"/>
          </w:rPr>
          <w:t xml:space="preserve">[55]</w:t>
        </w:r>
      </w:hyperlink>
      <w:r>
        <w:t xml:space="preserve"> </w:t>
      </w:r>
      <w:hyperlink r:id="rId38">
        <w:r>
          <w:rPr>
            <w:rStyle w:val="Hyperlink"/>
          </w:rPr>
          <w:t xml:space="preserve">[113]</w:t>
        </w:r>
      </w:hyperlink>
      <w:r>
        <w:t xml:space="preserve"> </w:t>
      </w:r>
      <w:r>
        <w:t xml:space="preserve">https://www.ndrc.gov.cn/xxgk/jd/jd/202308/t20230803_1359098.html</w:t>
      </w:r>
    </w:p>
    <w:p>
      <w:pPr>
        <w:pStyle w:val="BodyText"/>
      </w:pPr>
      <w:hyperlink r:id="rId38">
        <w:r>
          <w:rPr>
            <w:rStyle w:val="Hyperlink"/>
          </w:rPr>
          <w:t xml:space="preserve">https://www.ndrc.gov.cn/xxgk/jd/jd/202308/t20230803_1359098.html</w:t>
        </w:r>
      </w:hyperlink>
    </w:p>
    <w:p>
      <w:pPr>
        <w:pStyle w:val="BodyText"/>
      </w:pPr>
      <w:hyperlink r:id="rId39">
        <w:r>
          <w:rPr>
            <w:rStyle w:val="Hyperlink"/>
          </w:rPr>
          <w:t xml:space="preserve">[27]</w:t>
        </w:r>
      </w:hyperlink>
      <w:r>
        <w:t xml:space="preserve"> </w:t>
      </w:r>
      <w:hyperlink r:id="rId39">
        <w:r>
          <w:rPr>
            <w:rStyle w:val="Hyperlink"/>
          </w:rPr>
          <w:t xml:space="preserve">[71]</w:t>
        </w:r>
      </w:hyperlink>
      <w:r>
        <w:t xml:space="preserve"> </w:t>
      </w:r>
      <w:hyperlink r:id="rId39">
        <w:r>
          <w:rPr>
            <w:rStyle w:val="Hyperlink"/>
          </w:rPr>
          <w:t xml:space="preserve">[107]</w:t>
        </w:r>
      </w:hyperlink>
      <w:r>
        <w:t xml:space="preserve"> </w:t>
      </w:r>
      <w:r>
        <w:t xml:space="preserve">https://openstd.samr.gov.cn/bzgk/gb/newGbInfo?hcno=BAFB47E8874764186BDB7865E8344DAF</w:t>
      </w:r>
    </w:p>
    <w:p>
      <w:pPr>
        <w:pStyle w:val="BodyText"/>
      </w:pPr>
      <w:hyperlink r:id="rId39">
        <w:r>
          <w:rPr>
            <w:rStyle w:val="Hyperlink"/>
          </w:rPr>
          <w:t xml:space="preserve">https://openstd.samr.gov.cn/bzgk/gb/newGbInfo?hcno=BAFB47E8874764186BDB7865E8344DAF</w:t>
        </w:r>
      </w:hyperlink>
    </w:p>
    <w:p>
      <w:pPr>
        <w:pStyle w:val="BodyText"/>
      </w:pPr>
      <w:hyperlink r:id="rId40">
        <w:r>
          <w:rPr>
            <w:rStyle w:val="Hyperlink"/>
          </w:rPr>
          <w:t xml:space="preserve">[34]</w:t>
        </w:r>
      </w:hyperlink>
      <w:r>
        <w:t xml:space="preserve"> </w:t>
      </w:r>
      <w:hyperlink r:id="rId40">
        <w:r>
          <w:rPr>
            <w:rStyle w:val="Hyperlink"/>
          </w:rPr>
          <w:t xml:space="preserve">[85]</w:t>
        </w:r>
      </w:hyperlink>
      <w:r>
        <w:t xml:space="preserve"> </w:t>
      </w:r>
      <w:hyperlink r:id="rId40">
        <w:r>
          <w:rPr>
            <w:rStyle w:val="Hyperlink"/>
          </w:rPr>
          <w:t xml:space="preserve">[95]</w:t>
        </w:r>
      </w:hyperlink>
      <w:r>
        <w:t xml:space="preserve"> </w:t>
      </w:r>
      <w:r>
        <w:t xml:space="preserve">https://www.ndrc.gov.cn/xxgk/zcfb/tz/202507/P020250711597755135521.pdf</w:t>
      </w:r>
    </w:p>
    <w:p>
      <w:pPr>
        <w:pStyle w:val="BodyText"/>
      </w:pPr>
      <w:hyperlink r:id="rId40">
        <w:r>
          <w:rPr>
            <w:rStyle w:val="Hyperlink"/>
          </w:rPr>
          <w:t xml:space="preserve">https://www.ndrc.gov.cn/xxgk/zcfb/tz/202507/P020250711597755135521.pdf</w:t>
        </w:r>
      </w:hyperlink>
    </w:p>
    <w:p>
      <w:pPr>
        <w:pStyle w:val="BodyText"/>
      </w:pPr>
      <w:hyperlink r:id="rId42">
        <w:r>
          <w:rPr>
            <w:rStyle w:val="Hyperlink"/>
          </w:rPr>
          <w:t xml:space="preserve">[40]</w:t>
        </w:r>
      </w:hyperlink>
      <w:r>
        <w:t xml:space="preserve"> </w:t>
      </w:r>
      <w:hyperlink r:id="rId42">
        <w:r>
          <w:rPr>
            <w:rStyle w:val="Hyperlink"/>
          </w:rPr>
          <w:t xml:space="preserve">[70]</w:t>
        </w:r>
      </w:hyperlink>
      <w:r>
        <w:t xml:space="preserve"> </w:t>
      </w:r>
      <w:r>
        <w:t xml:space="preserve">https://www.ndrc.gov.cn/xxgk/zcfb/ghxwj/202309/P020230927322829159702.pdf</w:t>
      </w:r>
    </w:p>
    <w:p>
      <w:pPr>
        <w:pStyle w:val="BodyText"/>
      </w:pPr>
      <w:hyperlink r:id="rId42">
        <w:r>
          <w:rPr>
            <w:rStyle w:val="Hyperlink"/>
          </w:rPr>
          <w:t xml:space="preserve">https://www.ndrc.gov.cn/xxgk/zcfb/ghxwj/202309/P020230927322829159702.pdf</w:t>
        </w:r>
      </w:hyperlink>
    </w:p>
    <w:p>
      <w:pPr>
        <w:pStyle w:val="BodyText"/>
      </w:pPr>
      <w:hyperlink r:id="rId43">
        <w:r>
          <w:rPr>
            <w:rStyle w:val="Hyperlink"/>
          </w:rPr>
          <w:t xml:space="preserve">[41]</w:t>
        </w:r>
      </w:hyperlink>
      <w:r>
        <w:t xml:space="preserve"> </w:t>
      </w:r>
      <w:hyperlink r:id="rId43">
        <w:r>
          <w:rPr>
            <w:rStyle w:val="Hyperlink"/>
          </w:rPr>
          <w:t xml:space="preserve">[99]</w:t>
        </w:r>
      </w:hyperlink>
      <w:r>
        <w:t xml:space="preserve"> </w:t>
      </w:r>
      <w:r>
        <w:t xml:space="preserve">https://www.ndrc.gov.cn/xxgk/zcfb/ghxwj/202309/P020230927316131533276.pdf</w:t>
      </w:r>
    </w:p>
    <w:p>
      <w:pPr>
        <w:pStyle w:val="BodyText"/>
      </w:pPr>
      <w:hyperlink r:id="rId43">
        <w:r>
          <w:rPr>
            <w:rStyle w:val="Hyperlink"/>
          </w:rPr>
          <w:t xml:space="preserve">https://www.ndrc.gov.cn/xxgk/zcfb/ghxwj/202309/P020230927316131533276.pdf</w:t>
        </w:r>
      </w:hyperlink>
    </w:p>
    <w:p>
      <w:pPr>
        <w:pStyle w:val="BodyText"/>
      </w:pPr>
      <w:hyperlink r:id="rId44">
        <w:r>
          <w:rPr>
            <w:rStyle w:val="Hyperlink"/>
          </w:rPr>
          <w:t xml:space="preserve">[43]</w:t>
        </w:r>
      </w:hyperlink>
      <w:r>
        <w:t xml:space="preserve"> </w:t>
      </w:r>
      <w:hyperlink r:id="rId44">
        <w:r>
          <w:rPr>
            <w:rStyle w:val="Hyperlink"/>
          </w:rPr>
          <w:t xml:space="preserve">[50]</w:t>
        </w:r>
      </w:hyperlink>
      <w:r>
        <w:t xml:space="preserve"> </w:t>
      </w:r>
      <w:r>
        <w:t xml:space="preserve">https://www.nea.gov.cn/20250731/1d40d09f75714280a9218d5bea178fbd/202507311d40d09f75714280a9218d5bea178fbd_453d9a0609da1d4456a8b12d843bd256cf.pdf</w:t>
      </w:r>
    </w:p>
    <w:p>
      <w:pPr>
        <w:pStyle w:val="BodyText"/>
      </w:pPr>
      <w:hyperlink r:id="rId44">
        <w:r>
          <w:rPr>
            <w:rStyle w:val="Hyperlink"/>
          </w:rPr>
          <w:t xml:space="preserve">https://www.nea.gov.cn/20250731/1d40d09f75714280a9218d5bea178fbd/202507311d40d09f75714280a9218d5bea178fbd_453d9a0609da1d4456a8b12d843bd256cf.pdf</w:t>
        </w:r>
      </w:hyperlink>
    </w:p>
    <w:p>
      <w:pPr>
        <w:pStyle w:val="BodyText"/>
      </w:pPr>
      <w:hyperlink r:id="rId46">
        <w:r>
          <w:rPr>
            <w:rStyle w:val="Hyperlink"/>
          </w:rPr>
          <w:t xml:space="preserve">[47]</w:t>
        </w:r>
      </w:hyperlink>
      <w:r>
        <w:t xml:space="preserve"> </w:t>
      </w:r>
      <w:hyperlink r:id="rId46">
        <w:r>
          <w:rPr>
            <w:rStyle w:val="Hyperlink"/>
          </w:rPr>
          <w:t xml:space="preserve">[89]</w:t>
        </w:r>
      </w:hyperlink>
      <w:r>
        <w:t xml:space="preserve"> </w:t>
      </w:r>
      <w:hyperlink r:id="rId46">
        <w:r>
          <w:rPr>
            <w:rStyle w:val="Hyperlink"/>
          </w:rPr>
          <w:t xml:space="preserve">[110]</w:t>
        </w:r>
      </w:hyperlink>
      <w:r>
        <w:t xml:space="preserve"> </w:t>
      </w:r>
      <w:r>
        <w:t xml:space="preserve">https://www.sciencedirect.com/science/article/abs/pii/S1364032123008894</w:t>
      </w:r>
    </w:p>
    <w:p>
      <w:pPr>
        <w:pStyle w:val="BodyText"/>
      </w:pPr>
      <w:hyperlink r:id="rId46">
        <w:r>
          <w:rPr>
            <w:rStyle w:val="Hyperlink"/>
          </w:rPr>
          <w:t xml:space="preserve">https://www.sciencedirect.com/science/article/abs/pii/S1364032123008894</w:t>
        </w:r>
      </w:hyperlink>
    </w:p>
    <w:p>
      <w:pPr>
        <w:pStyle w:val="BodyText"/>
      </w:pPr>
      <w:hyperlink r:id="rId47">
        <w:r>
          <w:rPr>
            <w:rStyle w:val="Hyperlink"/>
          </w:rPr>
          <w:t xml:space="preserve">[48]</w:t>
        </w:r>
      </w:hyperlink>
      <w:r>
        <w:t xml:space="preserve"> </w:t>
      </w:r>
      <w:r>
        <w:t xml:space="preserve">https://cccf.hrbeu.edu.cn/cn/article/pdf/preview/10.11991/cccf.202509006.pdf</w:t>
      </w:r>
    </w:p>
    <w:p>
      <w:pPr>
        <w:pStyle w:val="BodyText"/>
      </w:pPr>
      <w:hyperlink r:id="rId47">
        <w:r>
          <w:rPr>
            <w:rStyle w:val="Hyperlink"/>
          </w:rPr>
          <w:t xml:space="preserve">https://cccf.hrbeu.edu.cn/cn/article/pdf/preview/10.11991/cccf.202509006.pdf</w:t>
        </w:r>
      </w:hyperlink>
    </w:p>
    <w:p>
      <w:pPr>
        <w:pStyle w:val="BodyText"/>
      </w:pPr>
      <w:hyperlink r:id="rId48">
        <w:r>
          <w:rPr>
            <w:rStyle w:val="Hyperlink"/>
          </w:rPr>
          <w:t xml:space="preserve">[49]</w:t>
        </w:r>
      </w:hyperlink>
      <w:r>
        <w:t xml:space="preserve"> </w:t>
      </w:r>
      <w:hyperlink r:id="rId48">
        <w:r>
          <w:rPr>
            <w:rStyle w:val="Hyperlink"/>
          </w:rPr>
          <w:t xml:space="preserve">[100]</w:t>
        </w:r>
      </w:hyperlink>
      <w:r>
        <w:t xml:space="preserve"> </w:t>
      </w:r>
      <w:r>
        <w:t xml:space="preserve">https://www.nea.gov.cn/20250414/a2e9207284ef47ad9e7b51b3ce9eda83/c.html</w:t>
      </w:r>
    </w:p>
    <w:p>
      <w:pPr>
        <w:pStyle w:val="BodyText"/>
      </w:pPr>
      <w:hyperlink r:id="rId48">
        <w:r>
          <w:rPr>
            <w:rStyle w:val="Hyperlink"/>
          </w:rPr>
          <w:t xml:space="preserve">https://www.nea.gov.cn/20250414/a2e9207284ef47ad9e7b51b3ce9eda83/c.html</w:t>
        </w:r>
      </w:hyperlink>
    </w:p>
    <w:p>
      <w:pPr>
        <w:pStyle w:val="BodyText"/>
      </w:pPr>
      <w:hyperlink r:id="rId49">
        <w:r>
          <w:rPr>
            <w:rStyle w:val="Hyperlink"/>
          </w:rPr>
          <w:t xml:space="preserve">[51]</w:t>
        </w:r>
      </w:hyperlink>
      <w:r>
        <w:t xml:space="preserve"> </w:t>
      </w:r>
      <w:hyperlink r:id="rId49">
        <w:r>
          <w:rPr>
            <w:rStyle w:val="Hyperlink"/>
          </w:rPr>
          <w:t xml:space="preserve">[112]</w:t>
        </w:r>
      </w:hyperlink>
      <w:r>
        <w:t xml:space="preserve"> </w:t>
      </w:r>
      <w:r>
        <w:t xml:space="preserve">https://www.sciengine.com/doi/pdfView/170631C47EB04EBE94736E697946E249</w:t>
      </w:r>
    </w:p>
    <w:p>
      <w:pPr>
        <w:pStyle w:val="BodyText"/>
      </w:pPr>
      <w:hyperlink r:id="rId49">
        <w:r>
          <w:rPr>
            <w:rStyle w:val="Hyperlink"/>
          </w:rPr>
          <w:t xml:space="preserve">https://www.sciengine.com/doi/pdfView/170631C47EB04EBE94736E697946E249</w:t>
        </w:r>
      </w:hyperlink>
    </w:p>
    <w:p>
      <w:pPr>
        <w:pStyle w:val="BodyText"/>
      </w:pPr>
      <w:hyperlink r:id="rId50">
        <w:r>
          <w:rPr>
            <w:rStyle w:val="Hyperlink"/>
          </w:rPr>
          <w:t xml:space="preserve">[54]</w:t>
        </w:r>
      </w:hyperlink>
      <w:r>
        <w:t xml:space="preserve"> </w:t>
      </w:r>
      <w:hyperlink r:id="rId50">
        <w:r>
          <w:rPr>
            <w:rStyle w:val="Hyperlink"/>
          </w:rPr>
          <w:t xml:space="preserve">[82]</w:t>
        </w:r>
      </w:hyperlink>
      <w:r>
        <w:t xml:space="preserve"> </w:t>
      </w:r>
      <w:r>
        <w:t xml:space="preserve">https://www.iea.org/reports/energy-and-ai</w:t>
      </w:r>
    </w:p>
    <w:p>
      <w:pPr>
        <w:pStyle w:val="BodyText"/>
      </w:pPr>
      <w:hyperlink r:id="rId50">
        <w:r>
          <w:rPr>
            <w:rStyle w:val="Hyperlink"/>
          </w:rPr>
          <w:t xml:space="preserve">https://www.iea.org/reports/energy-and-ai</w:t>
        </w:r>
      </w:hyperlink>
    </w:p>
    <w:p>
      <w:pPr>
        <w:pStyle w:val="BodyText"/>
      </w:pPr>
      <w:hyperlink r:id="rId52">
        <w:r>
          <w:rPr>
            <w:rStyle w:val="Hyperlink"/>
          </w:rPr>
          <w:t xml:space="preserve">[58]</w:t>
        </w:r>
      </w:hyperlink>
      <w:r>
        <w:t xml:space="preserve"> </w:t>
      </w:r>
      <w:hyperlink r:id="rId52">
        <w:r>
          <w:rPr>
            <w:rStyle w:val="Hyperlink"/>
          </w:rPr>
          <w:t xml:space="preserve">[111]</w:t>
        </w:r>
      </w:hyperlink>
      <w:r>
        <w:t xml:space="preserve"> </w:t>
      </w:r>
      <w:r>
        <w:t xml:space="preserve">https://www.sciencedirect.com/science/article/pii/S2352484724003603</w:t>
      </w:r>
    </w:p>
    <w:p>
      <w:pPr>
        <w:pStyle w:val="BodyText"/>
      </w:pPr>
      <w:hyperlink r:id="rId52">
        <w:r>
          <w:rPr>
            <w:rStyle w:val="Hyperlink"/>
          </w:rPr>
          <w:t xml:space="preserve">https://www.sciencedirect.com/science/article/pii/S2352484724003603</w:t>
        </w:r>
      </w:hyperlink>
    </w:p>
    <w:p>
      <w:pPr>
        <w:pStyle w:val="BodyText"/>
      </w:pPr>
      <w:hyperlink r:id="rId54">
        <w:r>
          <w:rPr>
            <w:rStyle w:val="Hyperlink"/>
          </w:rPr>
          <w:t xml:space="preserve">[65]</w:t>
        </w:r>
      </w:hyperlink>
      <w:r>
        <w:t xml:space="preserve"> </w:t>
      </w:r>
      <w:hyperlink r:id="rId54">
        <w:r>
          <w:rPr>
            <w:rStyle w:val="Hyperlink"/>
          </w:rPr>
          <w:t xml:space="preserve">[87]</w:t>
        </w:r>
      </w:hyperlink>
      <w:r>
        <w:t xml:space="preserve"> </w:t>
      </w:r>
      <w:r>
        <w:t xml:space="preserve">https://zfxxgk.ndrc.gov.cn/upload/images/202511/202511261875764.pdf</w:t>
      </w:r>
    </w:p>
    <w:p>
      <w:pPr>
        <w:pStyle w:val="BodyText"/>
      </w:pPr>
      <w:hyperlink r:id="rId54">
        <w:r>
          <w:rPr>
            <w:rStyle w:val="Hyperlink"/>
          </w:rPr>
          <w:t xml:space="preserve">https://zfxxgk.ndrc.gov.cn/upload/images/202511/202511261875764.pdf</w:t>
        </w:r>
      </w:hyperlink>
    </w:p>
    <w:p>
      <w:pPr>
        <w:pStyle w:val="BodyText"/>
      </w:pPr>
      <w:hyperlink r:id="rId55">
        <w:r>
          <w:rPr>
            <w:rStyle w:val="Hyperlink"/>
          </w:rPr>
          <w:t xml:space="preserve">[68]</w:t>
        </w:r>
      </w:hyperlink>
      <w:r>
        <w:t xml:space="preserve"> </w:t>
      </w:r>
      <w:hyperlink r:id="rId55">
        <w:r>
          <w:rPr>
            <w:rStyle w:val="Hyperlink"/>
          </w:rPr>
          <w:t xml:space="preserve">[75]</w:t>
        </w:r>
      </w:hyperlink>
      <w:r>
        <w:t xml:space="preserve"> </w:t>
      </w:r>
      <w:hyperlink r:id="rId55">
        <w:r>
          <w:rPr>
            <w:rStyle w:val="Hyperlink"/>
          </w:rPr>
          <w:t xml:space="preserve">[79]</w:t>
        </w:r>
      </w:hyperlink>
      <w:r>
        <w:t xml:space="preserve"> </w:t>
      </w:r>
      <w:hyperlink r:id="rId55">
        <w:r>
          <w:rPr>
            <w:rStyle w:val="Hyperlink"/>
          </w:rPr>
          <w:t xml:space="preserve">[83]</w:t>
        </w:r>
      </w:hyperlink>
      <w:r>
        <w:t xml:space="preserve"> </w:t>
      </w:r>
      <w:r>
        <w:t xml:space="preserve">https://www.nea.gov.cn/20250808/871cf106a938418e9fcf76c32c353e15/c.html</w:t>
      </w:r>
    </w:p>
    <w:p>
      <w:pPr>
        <w:pStyle w:val="BodyText"/>
      </w:pPr>
      <w:hyperlink r:id="rId55">
        <w:r>
          <w:rPr>
            <w:rStyle w:val="Hyperlink"/>
          </w:rPr>
          <w:t xml:space="preserve">https://www.nea.gov.cn/20250808/871cf106a938418e9fcf76c32c353e15/c.html</w:t>
        </w:r>
      </w:hyperlink>
    </w:p>
    <w:p>
      <w:pPr>
        <w:pStyle w:val="BodyText"/>
      </w:pPr>
      <w:hyperlink r:id="rId57">
        <w:r>
          <w:rPr>
            <w:rStyle w:val="Hyperlink"/>
          </w:rPr>
          <w:t xml:space="preserve">[77]</w:t>
        </w:r>
      </w:hyperlink>
      <w:r>
        <w:t xml:space="preserve"> </w:t>
      </w:r>
      <w:hyperlink r:id="rId57">
        <w:r>
          <w:rPr>
            <w:rStyle w:val="Hyperlink"/>
          </w:rPr>
          <w:t xml:space="preserve">[105]</w:t>
        </w:r>
      </w:hyperlink>
      <w:r>
        <w:t xml:space="preserve"> </w:t>
      </w:r>
      <w:r>
        <w:t xml:space="preserve">https://www.mee.gov.cn/zcwj/gwywj/202108/t20210817_858013.shtml</w:t>
      </w:r>
    </w:p>
    <w:p>
      <w:pPr>
        <w:pStyle w:val="BodyText"/>
      </w:pPr>
      <w:hyperlink r:id="rId57">
        <w:r>
          <w:rPr>
            <w:rStyle w:val="Hyperlink"/>
          </w:rPr>
          <w:t xml:space="preserve">https://www.mee.gov.cn/zcwj/gwywj/202108/t20210817_858013.shtml</w:t>
        </w:r>
      </w:hyperlink>
    </w:p>
    <w:p>
      <w:pPr>
        <w:pStyle w:val="BodyText"/>
      </w:pPr>
      <w:hyperlink r:id="rId59">
        <w:r>
          <w:rPr>
            <w:rStyle w:val="Hyperlink"/>
          </w:rPr>
          <w:t xml:space="preserve">[92]</w:t>
        </w:r>
      </w:hyperlink>
      <w:r>
        <w:t xml:space="preserve"> </w:t>
      </w:r>
      <w:r>
        <w:t xml:space="preserve">https://www.ndrc.gov.cn/xxgk/zcfb/ghxwj/202309/t20230915_1360625_ext.html</w:t>
      </w:r>
    </w:p>
    <w:p>
      <w:pPr>
        <w:pStyle w:val="BodyText"/>
      </w:pPr>
      <w:hyperlink r:id="rId59">
        <w:r>
          <w:rPr>
            <w:rStyle w:val="Hyperlink"/>
          </w:rPr>
          <w:t xml:space="preserve">https://www.ndrc.gov.cn/xxgk/zcfb/ghxwj/202309/t20230915_1360625_ext.html</w:t>
        </w:r>
      </w:hyperlink>
    </w:p>
    <w:p>
      <w:pPr>
        <w:pStyle w:val="BodyText"/>
      </w:pPr>
      <w:hyperlink r:id="rId60">
        <w:r>
          <w:rPr>
            <w:rStyle w:val="Hyperlink"/>
          </w:rPr>
          <w:t xml:space="preserve">[93]</w:t>
        </w:r>
      </w:hyperlink>
      <w:r>
        <w:t xml:space="preserve"> </w:t>
      </w:r>
      <w:r>
        <w:t xml:space="preserve">https://www.ndrc.gov.cn/xxgk/zcfb/ghxwj/202504/t20250429_1397483.html</w:t>
      </w:r>
    </w:p>
    <w:p>
      <w:pPr>
        <w:pStyle w:val="BodyText"/>
      </w:pPr>
      <w:hyperlink r:id="rId60">
        <w:r>
          <w:rPr>
            <w:rStyle w:val="Hyperlink"/>
          </w:rPr>
          <w:t xml:space="preserve">https://www.ndrc.gov.cn/xxgk/zcfb/ghxwj/202504/t20250429_1397483.html</w:t>
        </w:r>
      </w:hyperlink>
    </w:p>
    <w:p>
      <w:pPr>
        <w:pStyle w:val="BodyText"/>
      </w:pPr>
      <w:hyperlink r:id="rId61">
        <w:r>
          <w:rPr>
            <w:rStyle w:val="Hyperlink"/>
          </w:rPr>
          <w:t xml:space="preserve">[98]</w:t>
        </w:r>
      </w:hyperlink>
      <w:r>
        <w:t xml:space="preserve"> </w:t>
      </w:r>
      <w:r>
        <w:t xml:space="preserve">https://zfxxgk.nea.gov.cn/2023-07/25/c_1310735434.htm</w:t>
      </w:r>
    </w:p>
    <w:p>
      <w:pPr>
        <w:pStyle w:val="BodyText"/>
      </w:pPr>
      <w:hyperlink r:id="rId61">
        <w:r>
          <w:rPr>
            <w:rStyle w:val="Hyperlink"/>
          </w:rPr>
          <w:t xml:space="preserve">https://zfxxgk.nea.gov.cn/2023-07/25/c_1310735434.htm</w:t>
        </w:r>
      </w:hyperlink>
    </w:p>
    <w:p>
      <w:pPr>
        <w:pStyle w:val="BodyText"/>
      </w:pPr>
      <w:hyperlink r:id="rId62">
        <w:r>
          <w:rPr>
            <w:rStyle w:val="Hyperlink"/>
          </w:rPr>
          <w:t xml:space="preserve">[101]</w:t>
        </w:r>
      </w:hyperlink>
      <w:r>
        <w:t xml:space="preserve"> </w:t>
      </w:r>
      <w:r>
        <w:t xml:space="preserve">https://iea.blob.core.windows.net/assets/a1e7a174-ba09-4513-938a-8d8fabc4d93d/BuildingaUnifiedNationalPowerMarketSysteminChina_Chinese.pdf</w:t>
      </w:r>
    </w:p>
    <w:p>
      <w:pPr>
        <w:pStyle w:val="BodyText"/>
      </w:pPr>
      <w:hyperlink r:id="rId62">
        <w:r>
          <w:rPr>
            <w:rStyle w:val="Hyperlink"/>
          </w:rPr>
          <w:t xml:space="preserve">https://iea.blob.core.windows.net/assets/a1e7a174-ba09-4513-938a-8d8fabc4d93d/BuildingaUnifiedNationalPowerMarketSysteminChina_Chinese.pdf</w:t>
        </w:r>
      </w:hyperlink>
    </w:p>
    <w:p>
      <w:pPr>
        <w:pStyle w:val="BodyText"/>
      </w:pPr>
      <w:hyperlink r:id="rId63">
        <w:r>
          <w:rPr>
            <w:rStyle w:val="Hyperlink"/>
          </w:rPr>
          <w:t xml:space="preserve">[103]</w:t>
        </w:r>
      </w:hyperlink>
      <w:r>
        <w:t xml:space="preserve"> </w:t>
      </w:r>
      <w:r>
        <w:t xml:space="preserve">https://flk.npc.gov.cn/detail?fileId=&amp;id=ff80818179f5e0800179f885c7e70392&amp;title=%E4%B8%AD%E5%8D%8E%E4%BA%BA%E6%B0%91%E5%85%B1%E5%92%8C%E5%9B%BD%E6%95%B0%E6%8D%AE%E5%AE%89%E5%85%A8%E6%B3%95&amp;type=</w:t>
      </w:r>
    </w:p>
    <w:p>
      <w:pPr>
        <w:pStyle w:val="BodyText"/>
      </w:pPr>
      <w:hyperlink r:id="rId63">
        <w:r>
          <w:rPr>
            <w:rStyle w:val="Hyperlink"/>
          </w:rPr>
          <w:t xml:space="preserve">https://flk.npc.gov.cn/detail?fileId=&amp;id=ff80818179f5e0800179f885c7e70392&amp;title=%E4%B8%AD%E5%8D%8E%E4%BA%BA%E6%B0%91%E5%85%B1%E5%92%8C%E5%9B%BD%E6%95%B0%E6%8D%AE%E5%AE%89%E5%85%A8%E6%B3%95&amp;type=</w:t>
        </w:r>
      </w:hyperlink>
    </w:p>
    <w:p>
      <w:pPr>
        <w:pStyle w:val="BodyText"/>
      </w:pPr>
      <w:hyperlink r:id="rId64">
        <w:r>
          <w:rPr>
            <w:rStyle w:val="Hyperlink"/>
          </w:rPr>
          <w:t xml:space="preserve">[104]</w:t>
        </w:r>
      </w:hyperlink>
      <w:r>
        <w:t xml:space="preserve"> </w:t>
      </w:r>
      <w:r>
        <w:t xml:space="preserve">https://flk.npc.gov.cn/detail?fileId=&amp;id=2c909fdd678bf17901678bf8276f093d&amp;title=%E4%B8%AD%E5%8D%8E%E4%BA%BA%E6%B0%91%E5%85%B1%E5%92%8C%E5%9B%BD%E7%BD%91%E7%BB%9C%E5%AE%89%E5%85%A8%E6%B3%95&amp;type=</w:t>
      </w:r>
    </w:p>
    <w:p>
      <w:pPr>
        <w:pStyle w:val="BodyText"/>
      </w:pPr>
      <w:hyperlink r:id="rId64">
        <w:r>
          <w:rPr>
            <w:rStyle w:val="Hyperlink"/>
          </w:rPr>
          <w:t xml:space="preserve">https://flk.npc.gov.cn/detail?fileId=&amp;id=2c909fdd678bf17901678bf8276f093d&amp;title=%E4%B8%AD%E5%8D%8E%E4%BA%BA%E6%B0%91%E5%85%B1%E5%92%8C%E5%9B%BD%E7%BD%91%E7%BB%9C%E5%AE%89%E5%85%A8%E6%B3%95&amp;type=</w:t>
        </w:r>
      </w:hyperlink>
    </w:p>
    <w:p>
      <w:pPr>
        <w:pStyle w:val="BodyText"/>
      </w:pPr>
      <w:hyperlink r:id="rId65">
        <w:r>
          <w:rPr>
            <w:rStyle w:val="Hyperlink"/>
          </w:rPr>
          <w:t xml:space="preserve">[106]</w:t>
        </w:r>
      </w:hyperlink>
      <w:r>
        <w:t xml:space="preserve"> </w:t>
      </w:r>
      <w:r>
        <w:t xml:space="preserve">https://www.ndrc.gov.cn/xxgk/zcfb/fzggwl/202412/t20241211_1394960.html</w:t>
      </w:r>
    </w:p>
    <w:p>
      <w:pPr>
        <w:pStyle w:val="BodyText"/>
      </w:pPr>
      <w:hyperlink r:id="rId65">
        <w:r>
          <w:rPr>
            <w:rStyle w:val="Hyperlink"/>
          </w:rPr>
          <w:t xml:space="preserve">https://www.ndrc.gov.cn/xxgk/zcfb/fzggwl/202412/t20241211_1394960.html</w:t>
        </w:r>
      </w:hyperlink>
    </w:p>
    <w:p>
      <w:pPr>
        <w:pStyle w:val="BodyText"/>
      </w:pPr>
      <w:hyperlink r:id="rId66">
        <w:r>
          <w:rPr>
            <w:rStyle w:val="Hyperlink"/>
          </w:rPr>
          <w:t xml:space="preserve">[108]</w:t>
        </w:r>
      </w:hyperlink>
      <w:r>
        <w:t xml:space="preserve"> </w:t>
      </w:r>
      <w:r>
        <w:t xml:space="preserve">https://hbj.nea.gov.cn/zxbs/dlywzzxkhnyhyxyyw/flfgjxggd/202402/P020240221381937672524.pdf</w:t>
      </w:r>
    </w:p>
    <w:p>
      <w:pPr>
        <w:pStyle w:val="BodyText"/>
      </w:pPr>
      <w:hyperlink r:id="rId66">
        <w:r>
          <w:rPr>
            <w:rStyle w:val="Hyperlink"/>
          </w:rPr>
          <w:t xml:space="preserve">https://hbj.nea.gov.cn/zxbs/dlywzzxkhnyhyxyyw/flfgjxggd/202402/P020240221381937672524.pdf</w:t>
        </w:r>
      </w:hyperlink>
    </w:p>
    <w:p>
      <w:pPr>
        <w:pStyle w:val="BodyText"/>
      </w:pPr>
      <w:hyperlink r:id="rId67">
        <w:r>
          <w:rPr>
            <w:rStyle w:val="Hyperlink"/>
          </w:rPr>
          <w:t xml:space="preserve">[109]</w:t>
        </w:r>
      </w:hyperlink>
      <w:r>
        <w:t xml:space="preserve"> </w:t>
      </w:r>
      <w:r>
        <w:t xml:space="preserve">https://faolex.fao.org/docs/pdf/chn149973.pdf</w:t>
      </w:r>
    </w:p>
    <w:p>
      <w:pPr>
        <w:pStyle w:val="BodyText"/>
      </w:pPr>
      <w:hyperlink r:id="rId67">
        <w:r>
          <w:rPr>
            <w:rStyle w:val="Hyperlink"/>
          </w:rPr>
          <w:t xml:space="preserve">https://faolex.fao.org/docs/pdf/chn149973.pdf</w:t>
        </w:r>
      </w:hyperlink>
    </w:p>
    <w:p>
      <w:pPr>
        <w:pStyle w:val="BodyText"/>
      </w:pPr>
      <w:hyperlink r:id="rId68">
        <w:r>
          <w:rPr>
            <w:rStyle w:val="Hyperlink"/>
          </w:rPr>
          <w:t xml:space="preserve">[114]</w:t>
        </w:r>
      </w:hyperlink>
      <w:r>
        <w:t xml:space="preserve"> </w:t>
      </w:r>
      <w:r>
        <w:t xml:space="preserve">https://www.irena.org/-/media/Files/IRENA/Agency/Publication/2019/Sep/IRENA_AI_Big_Data_2019.pdf</w:t>
      </w:r>
    </w:p>
    <w:p>
      <w:pPr>
        <w:pStyle w:val="BodyText"/>
      </w:pPr>
      <w:hyperlink r:id="rId68">
        <w:r>
          <w:rPr>
            <w:rStyle w:val="Hyperlink"/>
          </w:rPr>
          <w:t xml:space="preserve">https://www.irena.org/-/media/Files/IRENA/Agency/Publication/2019/Sep/IRENA_AI_Big_Data_2019.pdf</w:t>
        </w:r>
      </w:hyperlink>
    </w:p>
    <w:p>
      <w:pPr>
        <w:pStyle w:val="BodyText"/>
      </w:pPr>
      <w:hyperlink r:id="rId69">
        <w:r>
          <w:rPr>
            <w:rStyle w:val="Hyperlink"/>
          </w:rPr>
          <w:t xml:space="preserve">[115]</w:t>
        </w:r>
      </w:hyperlink>
      <w:r>
        <w:t xml:space="preserve"> </w:t>
      </w:r>
      <w:r>
        <w:t xml:space="preserve">https://www.ndrc.gov.cn/xxgk/jd/jd/202602/t20260211_1403695.html</w:t>
      </w:r>
    </w:p>
    <w:p>
      <w:pPr>
        <w:pStyle w:val="BodyText"/>
      </w:pPr>
      <w:hyperlink r:id="rId69">
        <w:r>
          <w:rPr>
            <w:rStyle w:val="Hyperlink"/>
          </w:rPr>
          <w:t xml:space="preserve">https://www.ndrc.gov.cn/xxgk/jd/jd/202602/t20260211_1403695.html</w:t>
        </w:r>
      </w:hyperlink>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cccf.hrbeu.edu.cn/cn/article/pdf/preview/10.11991/cccf.202509006.pdf" TargetMode="External" /><Relationship Type="http://schemas.openxmlformats.org/officeDocument/2006/relationships/hyperlink" Id="rId67" Target="https://faolex.fao.org/docs/pdf/chn149973.pdf" TargetMode="External" /><Relationship Type="http://schemas.openxmlformats.org/officeDocument/2006/relationships/hyperlink" Id="rId64" Target="https://flk.npc.gov.cn/detail?fileId=&amp;id=2c909fdd678bf17901678bf8276f093d&amp;title=%E4%B8%AD%E5%8D%8E%E4%BA%BA%E6%B0%91%E5%85%B1%E5%92%8C%E5%9B%BD%E7%BD%91%E7%BB%9C%E5%AE%89%E5%85%A8%E6%B3%95&amp;type=" TargetMode="External" /><Relationship Type="http://schemas.openxmlformats.org/officeDocument/2006/relationships/hyperlink" Id="rId63" Target="https://flk.npc.gov.cn/detail?fileId=&amp;id=ff80818179f5e0800179f885c7e70392&amp;title=%E4%B8%AD%E5%8D%8E%E4%BA%BA%E6%B0%91%E5%85%B1%E5%92%8C%E5%9B%BD%E6%95%B0%E6%8D%AE%E5%AE%89%E5%85%A8%E6%B3%95&amp;type=" TargetMode="External" /><Relationship Type="http://schemas.openxmlformats.org/officeDocument/2006/relationships/hyperlink" Id="rId31" Target="https://flk.npc.gov.cn/detail?fileId=&amp;id=ff8081817b6472a3017b656cc2040044&amp;title=%E4%B8%AD%E5%8D%8E%E4%BA%BA%E6%B0%91%E5%85%B1%E5%92%8C%E5%9B%BD%E4%B8%AA%E4%BA%BA%E4%BF%A1%E6%81%AF%E4%BF%9D%E6%8A%A4%E6%B3%95&amp;type=" TargetMode="External" /><Relationship Type="http://schemas.openxmlformats.org/officeDocument/2006/relationships/hyperlink" Id="rId66" Target="https://hbj.nea.gov.cn/zxbs/dlywzzxkhnyhyxyyw/flfgjxggd/202402/P020240221381937672524.pdf" TargetMode="External" /><Relationship Type="http://schemas.openxmlformats.org/officeDocument/2006/relationships/hyperlink" Id="rId62" Target="https://iea.blob.core.windows.net/assets/a1e7a174-ba09-4513-938a-8d8fabc4d93d/BuildingaUnifiedNationalPowerMarketSysteminChina_Chinese.pdf" TargetMode="External" /><Relationship Type="http://schemas.openxmlformats.org/officeDocument/2006/relationships/hyperlink" Id="rId25" Target="https://iea.blob.core.windows.net/assets/dd7c2387-2f60-4b60-8c5f-6563b6aa1e4c/EnergyandAI.pdf" TargetMode="External" /><Relationship Type="http://schemas.openxmlformats.org/officeDocument/2006/relationships/hyperlink" Id="rId39" Target="https://openstd.samr.gov.cn/bzgk/gb/newGbInfo?hcno=BAFB47E8874764186BDB7865E8344DAF" TargetMode="External" /><Relationship Type="http://schemas.openxmlformats.org/officeDocument/2006/relationships/hyperlink" Id="rId50" Target="https://www.iea.org/reports/energy-and-ai" TargetMode="External" /><Relationship Type="http://schemas.openxmlformats.org/officeDocument/2006/relationships/hyperlink" Id="rId68" Target="https://www.irena.org/-/media/Files/IRENA/Agency/Publication/2019/Sep/IRENA_AI_Big_Data_2019.pdf" TargetMode="External" /><Relationship Type="http://schemas.openxmlformats.org/officeDocument/2006/relationships/hyperlink" Id="rId57" Target="https://www.mee.gov.cn/zcwj/gwywj/202108/t20210817_858013.shtml" TargetMode="External" /><Relationship Type="http://schemas.openxmlformats.org/officeDocument/2006/relationships/hyperlink" Id="rId36" Target="https://www.ndrc.gov.cn/fggz/fgzy/xmtjd/202109/t20210928_1298038.html" TargetMode="External" /><Relationship Type="http://schemas.openxmlformats.org/officeDocument/2006/relationships/hyperlink" Id="rId38" Target="https://www.ndrc.gov.cn/xxgk/jd/jd/202308/t20230803_1359098.html" TargetMode="External" /><Relationship Type="http://schemas.openxmlformats.org/officeDocument/2006/relationships/hyperlink" Id="rId69" Target="https://www.ndrc.gov.cn/xxgk/jd/jd/202602/t20260211_1403695.html" TargetMode="External" /><Relationship Type="http://schemas.openxmlformats.org/officeDocument/2006/relationships/hyperlink" Id="rId24" Target="https://www.ndrc.gov.cn/xxgk/zcfb/fzggwl/202405/P020240510390953264943.pdf" TargetMode="External" /><Relationship Type="http://schemas.openxmlformats.org/officeDocument/2006/relationships/hyperlink" Id="rId33" Target="https://www.ndrc.gov.cn/xxgk/zcfb/fzggwl/202405/t20240510_1377245_ext.html" TargetMode="External" /><Relationship Type="http://schemas.openxmlformats.org/officeDocument/2006/relationships/hyperlink" Id="rId65" Target="https://www.ndrc.gov.cn/xxgk/zcfb/fzggwl/202412/t20241211_1394960.html" TargetMode="External" /><Relationship Type="http://schemas.openxmlformats.org/officeDocument/2006/relationships/hyperlink" Id="rId23" Target="https://www.ndrc.gov.cn/xxgk/zcfb/ghxwj/202309/P020230915357678894853.pdf" TargetMode="External" /><Relationship Type="http://schemas.openxmlformats.org/officeDocument/2006/relationships/hyperlink" Id="rId43" Target="https://www.ndrc.gov.cn/xxgk/zcfb/ghxwj/202309/P020230927316131533276.pdf" TargetMode="External" /><Relationship Type="http://schemas.openxmlformats.org/officeDocument/2006/relationships/hyperlink" Id="rId42" Target="https://www.ndrc.gov.cn/xxgk/zcfb/ghxwj/202309/P020230927322829159702.pdf" TargetMode="External" /><Relationship Type="http://schemas.openxmlformats.org/officeDocument/2006/relationships/hyperlink" Id="rId59" Target="https://www.ndrc.gov.cn/xxgk/zcfb/ghxwj/202309/t20230915_1360625_ext.html" TargetMode="External" /><Relationship Type="http://schemas.openxmlformats.org/officeDocument/2006/relationships/hyperlink" Id="rId34" Target="https://www.ndrc.gov.cn/xxgk/zcfb/ghxwj/202504/P020250429394923912678.pdf" TargetMode="External" /><Relationship Type="http://schemas.openxmlformats.org/officeDocument/2006/relationships/hyperlink" Id="rId60" Target="https://www.ndrc.gov.cn/xxgk/zcfb/ghxwj/202504/t20250429_1397483.html" TargetMode="External" /><Relationship Type="http://schemas.openxmlformats.org/officeDocument/2006/relationships/hyperlink" Id="rId37" Target="https://www.ndrc.gov.cn/xxgk/zcfb/ghxwj/202508/t20250806_1399686.html" TargetMode="External" /><Relationship Type="http://schemas.openxmlformats.org/officeDocument/2006/relationships/hyperlink" Id="rId22" Target="https://www.ndrc.gov.cn/xxgk/zcfb/tz/202201/t20220128_1313653.html" TargetMode="External" /><Relationship Type="http://schemas.openxmlformats.org/officeDocument/2006/relationships/hyperlink" Id="rId26" Target="https://www.ndrc.gov.cn/xxgk/zcfb/tz/202504/t20250429_1397488.html" TargetMode="External" /><Relationship Type="http://schemas.openxmlformats.org/officeDocument/2006/relationships/hyperlink" Id="rId40" Target="https://www.ndrc.gov.cn/xxgk/zcfb/tz/202507/P020250711597755135521.pdf" TargetMode="External" /><Relationship Type="http://schemas.openxmlformats.org/officeDocument/2006/relationships/hyperlink" Id="rId27" Target="https://www.nea.gov.cn/2024-02/07/c_1310763802.htm" TargetMode="External" /><Relationship Type="http://schemas.openxmlformats.org/officeDocument/2006/relationships/hyperlink" Id="rId21" Target="https://www.nea.gov.cn/2024-06/21/c_1310779169.htm" TargetMode="External" /><Relationship Type="http://schemas.openxmlformats.org/officeDocument/2006/relationships/hyperlink" Id="rId48" Target="https://www.nea.gov.cn/20250414/a2e9207284ef47ad9e7b51b3ce9eda83/c.html" TargetMode="External" /><Relationship Type="http://schemas.openxmlformats.org/officeDocument/2006/relationships/hyperlink" Id="rId44" Target="https://www.nea.gov.cn/20250731/1d40d09f75714280a9218d5bea178fbd/202507311d40d09f75714280a9218d5bea178fbd_453d9a0609da1d4456a8b12d843bd256cf.pdf" TargetMode="External" /><Relationship Type="http://schemas.openxmlformats.org/officeDocument/2006/relationships/hyperlink" Id="rId55" Target="https://www.nea.gov.cn/20250808/871cf106a938418e9fcf76c32c353e15/c.html" TargetMode="External" /><Relationship Type="http://schemas.openxmlformats.org/officeDocument/2006/relationships/hyperlink" Id="rId30" Target="https://www.nea.gov.cn/download/gssdltzggwjhb1.pdf" TargetMode="External" /><Relationship Type="http://schemas.openxmlformats.org/officeDocument/2006/relationships/hyperlink" Id="rId46" Target="https://www.sciencedirect.com/science/article/abs/pii/S1364032123008894" TargetMode="External" /><Relationship Type="http://schemas.openxmlformats.org/officeDocument/2006/relationships/hyperlink" Id="rId52" Target="https://www.sciencedirect.com/science/article/pii/S2352484724003603" TargetMode="External" /><Relationship Type="http://schemas.openxmlformats.org/officeDocument/2006/relationships/hyperlink" Id="rId49" Target="https://www.sciengine.com/doi/pdfView/170631C47EB04EBE94736E697946E249" TargetMode="External" /><Relationship Type="http://schemas.openxmlformats.org/officeDocument/2006/relationships/hyperlink" Id="rId32" Target="https://www.scio.gov.cn/zdgz/jj/202602/t20260212_952499.html" TargetMode="External" /><Relationship Type="http://schemas.openxmlformats.org/officeDocument/2006/relationships/hyperlink" Id="rId28" Target="https://zfxxgk.ndrc.gov.cn/upload/images/202411/20241111172728.pdf" TargetMode="External" /><Relationship Type="http://schemas.openxmlformats.org/officeDocument/2006/relationships/hyperlink" Id="rId54" Target="https://zfxxgk.ndrc.gov.cn/upload/images/202511/202511261875764.pdf" TargetMode="External" /><Relationship Type="http://schemas.openxmlformats.org/officeDocument/2006/relationships/hyperlink" Id="rId61" Target="https://zfxxgk.nea.gov.cn/2023-07/25/c_1310735434.htm" TargetMode="External" /><Relationship Type="http://schemas.openxmlformats.org/officeDocument/2006/relationships/hyperlink" Id="rId35" Target="https://zfxxgk.nea.gov.cn/2024-09/13/c_1212399683.htm" TargetMode="External" /></Relationships>
</file>

<file path=word/_rels/footnotes.xml.rels><?xml version="1.0" encoding="UTF-8"?><Relationships xmlns="http://schemas.openxmlformats.org/package/2006/relationships"><Relationship Type="http://schemas.openxmlformats.org/officeDocument/2006/relationships/hyperlink" Id="rId47" Target="https://cccf.hrbeu.edu.cn/cn/article/pdf/preview/10.11991/cccf.202509006.pdf" TargetMode="External" /><Relationship Type="http://schemas.openxmlformats.org/officeDocument/2006/relationships/hyperlink" Id="rId67" Target="https://faolex.fao.org/docs/pdf/chn149973.pdf" TargetMode="External" /><Relationship Type="http://schemas.openxmlformats.org/officeDocument/2006/relationships/hyperlink" Id="rId64" Target="https://flk.npc.gov.cn/detail?fileId=&amp;id=2c909fdd678bf17901678bf8276f093d&amp;title=%E4%B8%AD%E5%8D%8E%E4%BA%BA%E6%B0%91%E5%85%B1%E5%92%8C%E5%9B%BD%E7%BD%91%E7%BB%9C%E5%AE%89%E5%85%A8%E6%B3%95&amp;type=" TargetMode="External" /><Relationship Type="http://schemas.openxmlformats.org/officeDocument/2006/relationships/hyperlink" Id="rId63" Target="https://flk.npc.gov.cn/detail?fileId=&amp;id=ff80818179f5e0800179f885c7e70392&amp;title=%E4%B8%AD%E5%8D%8E%E4%BA%BA%E6%B0%91%E5%85%B1%E5%92%8C%E5%9B%BD%E6%95%B0%E6%8D%AE%E5%AE%89%E5%85%A8%E6%B3%95&amp;type=" TargetMode="External" /><Relationship Type="http://schemas.openxmlformats.org/officeDocument/2006/relationships/hyperlink" Id="rId31" Target="https://flk.npc.gov.cn/detail?fileId=&amp;id=ff8081817b6472a3017b656cc2040044&amp;title=%E4%B8%AD%E5%8D%8E%E4%BA%BA%E6%B0%91%E5%85%B1%E5%92%8C%E5%9B%BD%E4%B8%AA%E4%BA%BA%E4%BF%A1%E6%81%AF%E4%BF%9D%E6%8A%A4%E6%B3%95&amp;type=" TargetMode="External" /><Relationship Type="http://schemas.openxmlformats.org/officeDocument/2006/relationships/hyperlink" Id="rId66" Target="https://hbj.nea.gov.cn/zxbs/dlywzzxkhnyhyxyyw/flfgjxggd/202402/P020240221381937672524.pdf" TargetMode="External" /><Relationship Type="http://schemas.openxmlformats.org/officeDocument/2006/relationships/hyperlink" Id="rId62" Target="https://iea.blob.core.windows.net/assets/a1e7a174-ba09-4513-938a-8d8fabc4d93d/BuildingaUnifiedNationalPowerMarketSysteminChina_Chinese.pdf" TargetMode="External" /><Relationship Type="http://schemas.openxmlformats.org/officeDocument/2006/relationships/hyperlink" Id="rId25" Target="https://iea.blob.core.windows.net/assets/dd7c2387-2f60-4b60-8c5f-6563b6aa1e4c/EnergyandAI.pdf" TargetMode="External" /><Relationship Type="http://schemas.openxmlformats.org/officeDocument/2006/relationships/hyperlink" Id="rId39" Target="https://openstd.samr.gov.cn/bzgk/gb/newGbInfo?hcno=BAFB47E8874764186BDB7865E8344DAF" TargetMode="External" /><Relationship Type="http://schemas.openxmlformats.org/officeDocument/2006/relationships/hyperlink" Id="rId50" Target="https://www.iea.org/reports/energy-and-ai" TargetMode="External" /><Relationship Type="http://schemas.openxmlformats.org/officeDocument/2006/relationships/hyperlink" Id="rId68" Target="https://www.irena.org/-/media/Files/IRENA/Agency/Publication/2019/Sep/IRENA_AI_Big_Data_2019.pdf" TargetMode="External" /><Relationship Type="http://schemas.openxmlformats.org/officeDocument/2006/relationships/hyperlink" Id="rId57" Target="https://www.mee.gov.cn/zcwj/gwywj/202108/t20210817_858013.shtml" TargetMode="External" /><Relationship Type="http://schemas.openxmlformats.org/officeDocument/2006/relationships/hyperlink" Id="rId36" Target="https://www.ndrc.gov.cn/fggz/fgzy/xmtjd/202109/t20210928_1298038.html" TargetMode="External" /><Relationship Type="http://schemas.openxmlformats.org/officeDocument/2006/relationships/hyperlink" Id="rId38" Target="https://www.ndrc.gov.cn/xxgk/jd/jd/202308/t20230803_1359098.html" TargetMode="External" /><Relationship Type="http://schemas.openxmlformats.org/officeDocument/2006/relationships/hyperlink" Id="rId69" Target="https://www.ndrc.gov.cn/xxgk/jd/jd/202602/t20260211_1403695.html" TargetMode="External" /><Relationship Type="http://schemas.openxmlformats.org/officeDocument/2006/relationships/hyperlink" Id="rId24" Target="https://www.ndrc.gov.cn/xxgk/zcfb/fzggwl/202405/P020240510390953264943.pdf" TargetMode="External" /><Relationship Type="http://schemas.openxmlformats.org/officeDocument/2006/relationships/hyperlink" Id="rId33" Target="https://www.ndrc.gov.cn/xxgk/zcfb/fzggwl/202405/t20240510_1377245_ext.html" TargetMode="External" /><Relationship Type="http://schemas.openxmlformats.org/officeDocument/2006/relationships/hyperlink" Id="rId65" Target="https://www.ndrc.gov.cn/xxgk/zcfb/fzggwl/202412/t20241211_1394960.html" TargetMode="External" /><Relationship Type="http://schemas.openxmlformats.org/officeDocument/2006/relationships/hyperlink" Id="rId23" Target="https://www.ndrc.gov.cn/xxgk/zcfb/ghxwj/202309/P020230915357678894853.pdf" TargetMode="External" /><Relationship Type="http://schemas.openxmlformats.org/officeDocument/2006/relationships/hyperlink" Id="rId43" Target="https://www.ndrc.gov.cn/xxgk/zcfb/ghxwj/202309/P020230927316131533276.pdf" TargetMode="External" /><Relationship Type="http://schemas.openxmlformats.org/officeDocument/2006/relationships/hyperlink" Id="rId42" Target="https://www.ndrc.gov.cn/xxgk/zcfb/ghxwj/202309/P020230927322829159702.pdf" TargetMode="External" /><Relationship Type="http://schemas.openxmlformats.org/officeDocument/2006/relationships/hyperlink" Id="rId59" Target="https://www.ndrc.gov.cn/xxgk/zcfb/ghxwj/202309/t20230915_1360625_ext.html" TargetMode="External" /><Relationship Type="http://schemas.openxmlformats.org/officeDocument/2006/relationships/hyperlink" Id="rId34" Target="https://www.ndrc.gov.cn/xxgk/zcfb/ghxwj/202504/P020250429394923912678.pdf" TargetMode="External" /><Relationship Type="http://schemas.openxmlformats.org/officeDocument/2006/relationships/hyperlink" Id="rId60" Target="https://www.ndrc.gov.cn/xxgk/zcfb/ghxwj/202504/t20250429_1397483.html" TargetMode="External" /><Relationship Type="http://schemas.openxmlformats.org/officeDocument/2006/relationships/hyperlink" Id="rId37" Target="https://www.ndrc.gov.cn/xxgk/zcfb/ghxwj/202508/t20250806_1399686.html" TargetMode="External" /><Relationship Type="http://schemas.openxmlformats.org/officeDocument/2006/relationships/hyperlink" Id="rId22" Target="https://www.ndrc.gov.cn/xxgk/zcfb/tz/202201/t20220128_1313653.html" TargetMode="External" /><Relationship Type="http://schemas.openxmlformats.org/officeDocument/2006/relationships/hyperlink" Id="rId26" Target="https://www.ndrc.gov.cn/xxgk/zcfb/tz/202504/t20250429_1397488.html" TargetMode="External" /><Relationship Type="http://schemas.openxmlformats.org/officeDocument/2006/relationships/hyperlink" Id="rId40" Target="https://www.ndrc.gov.cn/xxgk/zcfb/tz/202507/P020250711597755135521.pdf" TargetMode="External" /><Relationship Type="http://schemas.openxmlformats.org/officeDocument/2006/relationships/hyperlink" Id="rId27" Target="https://www.nea.gov.cn/2024-02/07/c_1310763802.htm" TargetMode="External" /><Relationship Type="http://schemas.openxmlformats.org/officeDocument/2006/relationships/hyperlink" Id="rId21" Target="https://www.nea.gov.cn/2024-06/21/c_1310779169.htm" TargetMode="External" /><Relationship Type="http://schemas.openxmlformats.org/officeDocument/2006/relationships/hyperlink" Id="rId48" Target="https://www.nea.gov.cn/20250414/a2e9207284ef47ad9e7b51b3ce9eda83/c.html" TargetMode="External" /><Relationship Type="http://schemas.openxmlformats.org/officeDocument/2006/relationships/hyperlink" Id="rId44" Target="https://www.nea.gov.cn/20250731/1d40d09f75714280a9218d5bea178fbd/202507311d40d09f75714280a9218d5bea178fbd_453d9a0609da1d4456a8b12d843bd256cf.pdf" TargetMode="External" /><Relationship Type="http://schemas.openxmlformats.org/officeDocument/2006/relationships/hyperlink" Id="rId55" Target="https://www.nea.gov.cn/20250808/871cf106a938418e9fcf76c32c353e15/c.html" TargetMode="External" /><Relationship Type="http://schemas.openxmlformats.org/officeDocument/2006/relationships/hyperlink" Id="rId30" Target="https://www.nea.gov.cn/download/gssdltzggwjhb1.pdf" TargetMode="External" /><Relationship Type="http://schemas.openxmlformats.org/officeDocument/2006/relationships/hyperlink" Id="rId46" Target="https://www.sciencedirect.com/science/article/abs/pii/S1364032123008894" TargetMode="External" /><Relationship Type="http://schemas.openxmlformats.org/officeDocument/2006/relationships/hyperlink" Id="rId52" Target="https://www.sciencedirect.com/science/article/pii/S2352484724003603" TargetMode="External" /><Relationship Type="http://schemas.openxmlformats.org/officeDocument/2006/relationships/hyperlink" Id="rId49" Target="https://www.sciengine.com/doi/pdfView/170631C47EB04EBE94736E697946E249" TargetMode="External" /><Relationship Type="http://schemas.openxmlformats.org/officeDocument/2006/relationships/hyperlink" Id="rId32" Target="https://www.scio.gov.cn/zdgz/jj/202602/t20260212_952499.html" TargetMode="External" /><Relationship Type="http://schemas.openxmlformats.org/officeDocument/2006/relationships/hyperlink" Id="rId28" Target="https://zfxxgk.ndrc.gov.cn/upload/images/202411/20241111172728.pdf" TargetMode="External" /><Relationship Type="http://schemas.openxmlformats.org/officeDocument/2006/relationships/hyperlink" Id="rId54" Target="https://zfxxgk.ndrc.gov.cn/upload/images/202511/202511261875764.pdf" TargetMode="External" /><Relationship Type="http://schemas.openxmlformats.org/officeDocument/2006/relationships/hyperlink" Id="rId61" Target="https://zfxxgk.nea.gov.cn/2023-07/25/c_1310735434.htm" TargetMode="External" /><Relationship Type="http://schemas.openxmlformats.org/officeDocument/2006/relationships/hyperlink" Id="rId35" Target="https://zfxxgk.nea.gov.cn/2024-09/13/c_1212399683.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2026-04-08T07:08:14Z</dcterms:created>
  <dcterms:modified xsi:type="dcterms:W3CDTF">2026-04-08T07:08:14Z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