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1C8C86"/>
          <w:sz w:val="24"/>
        </w:rPr>
        <w:t>CAPSTONE REPORT</w:t>
      </w:r>
    </w:p>
    <w:p>
      <w:pPr>
        <w:spacing w:after="200"/>
        <w:jc w:val="center"/>
      </w:pPr>
      <w:r>
        <w:rPr>
          <w:b/>
          <w:color w:val="17324D"/>
          <w:sz w:val="60"/>
        </w:rPr>
        <w:t>Agentic Healthcare Assistant</w:t>
      </w:r>
    </w:p>
    <w:p>
      <w:pPr>
        <w:spacing w:after="520"/>
        <w:jc w:val="center"/>
      </w:pPr>
      <w:r>
        <w:rPr>
          <w:color w:val="2E74B5"/>
          <w:sz w:val="30"/>
        </w:rPr>
        <w:t>Medical Task Automation Through Bounded Agentic Workflows</w:t>
      </w:r>
    </w:p>
    <w:tbl>
      <w:tblPr>
        <w:tblW w:type="auto" w:w="0"/>
        <w:jc w:val="center"/>
        <w:tblLayout w:type="fixed"/>
        <w:tblLook w:firstColumn="1" w:firstRow="1" w:lastColumn="0" w:lastRow="0" w:noHBand="0" w:noVBand="1" w:val="04A0"/>
      </w:tblPr>
      <w:tblGrid>
        <w:gridCol w:w="9648"/>
      </w:tblGrid>
      <w:tr>
        <w:trPr>
          <w:cantSplit/>
        </w:trPr>
        <w:tc>
          <w:tcPr>
            <w:tcW w:type="dxa" w:w="9360"/>
            <w:shd w:fill="E8F7EF"/>
            <w:vAlign w:val="center"/>
          </w:tcPr>
          <w:p>
            <w:pPr>
              <w:pStyle w:val="Callout"/>
            </w:pPr>
            <w:r>
              <w:rPr>
                <w:b/>
              </w:rPr>
              <w:t xml:space="preserve">Submission status: </w:t>
            </w:r>
            <w:r>
              <w:rPr>
                <w:b w:val="0"/>
              </w:rPr>
              <w:t>40 of 40 requirements satisfied; 125 regression tests passed; Python compilation passed.</w:t>
            </w:r>
          </w:p>
        </w:tc>
      </w:tr>
    </w:tbl>
    <w:p>
      <w:pPr>
        <w:spacing w:after="0"/>
      </w:pPr>
    </w:p>
    <w:p>
      <w:pPr>
        <w:spacing w:before="1300"/>
        <w:jc w:val="center"/>
      </w:pPr>
      <w:r>
        <w:rPr>
          <w:b/>
          <w:color w:val="17324D"/>
          <w:sz w:val="24"/>
        </w:rPr>
        <w:t>Prepared by Francisco Soto</w:t>
      </w:r>
    </w:p>
    <w:p>
      <w:pPr>
        <w:jc w:val="center"/>
      </w:pPr>
      <w:r>
        <w:rPr>
          <w:color w:val="607080"/>
        </w:rPr>
        <w:t>Final | September 2026</w:t>
      </w:r>
    </w:p>
    <w:p>
      <w:pPr>
        <w:spacing w:before="900"/>
        <w:jc w:val="center"/>
      </w:pPr>
      <w:r>
        <w:rPr>
          <w:i/>
          <w:color w:val="607080"/>
          <w:sz w:val="20"/>
        </w:rPr>
        <w:t>Synthetic demonstration data | Educational workflow prototype | Not medical advice</w:t>
      </w:r>
    </w:p>
    <w:p>
      <w:r>
        <w:br w:type="page"/>
      </w:r>
    </w:p>
    <w:p>
      <w:pPr>
        <w:pStyle w:val="Heading1"/>
      </w:pPr>
      <w:r>
        <w:t>Executive Summary</w:t>
      </w:r>
    </w:p>
    <w:p>
      <w:r>
        <w:t>This capstone demonstrates an agentic healthcare-assistant prototype that interprets a plain-language request, retrieves patient-scoped information, plans a workflow, invokes bounded tools, evaluates the response, and conditionally persists validated memory. The implementation emphasizes traceability and control rather than autonomous clinical decision-making.</w:t>
      </w:r>
    </w:p>
    <w:p>
      <w:r>
        <w:t>The completed solution uses structured Pydantic models, a LangGraph workflow, deterministic tools, trusted knowledge retrieval, deterministic and semantic evaluation, persisted operational metrics, and patient-scoped memory events. Appointment booking is performed only when the user explicitly requests it; planning output does not itself authorize execution.</w:t>
      </w:r>
    </w:p>
    <w:p>
      <w:r>
        <w:t>The solution was developed through a human-led, AI-augmented engineering method. Generative AI supported analysis, bounded implementation recommendations, debugging, testing, and documentation, while the project author retained authority over requirements, design decisions, execution, verification, and final acceptance.</w:t>
      </w:r>
    </w:p>
    <w:tbl>
      <w:tblPr>
        <w:tblW w:type="auto" w:w="0"/>
        <w:jc w:val="center"/>
        <w:tblLayout w:type="fixed"/>
        <w:tblLook w:firstColumn="1" w:firstRow="1" w:lastColumn="0" w:lastRow="0" w:noHBand="0" w:noVBand="1" w:val="04A0"/>
      </w:tblPr>
      <w:tblGrid>
        <w:gridCol w:w="9648"/>
      </w:tblGrid>
      <w:tr>
        <w:trPr>
          <w:cantSplit/>
        </w:trPr>
        <w:tc>
          <w:tcPr>
            <w:tcW w:type="dxa" w:w="9360"/>
            <w:shd w:fill="E8F7EF"/>
            <w:vAlign w:val="center"/>
          </w:tcPr>
          <w:p>
            <w:pPr>
              <w:pStyle w:val="Callout"/>
            </w:pPr>
            <w:r>
              <w:rPr>
                <w:b/>
              </w:rPr>
              <w:t xml:space="preserve">Verified outcome: </w:t>
            </w:r>
            <w:r>
              <w:rPr>
                <w:b w:val="0"/>
              </w:rPr>
              <w:t>All 40 requirements are recorded as satisfied, the full regression suite passed 125 tests, and the final evidence package excludes secrets and credentials.</w:t>
            </w:r>
          </w:p>
        </w:tc>
      </w:tr>
    </w:tbl>
    <w:p>
      <w:pPr>
        <w:spacing w:after="0"/>
      </w:pPr>
    </w:p>
    <w:p>
      <w:pPr>
        <w:pStyle w:val="Heading2"/>
      </w:pPr>
      <w:r>
        <w:t>Project at a Glance</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800"/>
            <w:shd w:fill="F2F4F7"/>
            <w:vAlign w:val="center"/>
          </w:tcPr>
          <w:p>
            <w:pPr>
              <w:spacing w:after="40" w:before="40"/>
            </w:pPr>
            <w:r>
              <w:rPr>
                <w:b/>
                <w:color w:val="17324D"/>
              </w:rPr>
              <w:t>Dimension</w:t>
            </w:r>
          </w:p>
        </w:tc>
        <w:tc>
          <w:tcPr>
            <w:tcW w:type="dxa" w:w="6560"/>
            <w:shd w:fill="F2F4F7"/>
            <w:vAlign w:val="center"/>
          </w:tcPr>
          <w:p>
            <w:pPr>
              <w:spacing w:after="40" w:before="40"/>
            </w:pPr>
            <w:r>
              <w:rPr>
                <w:b/>
                <w:color w:val="17324D"/>
              </w:rPr>
              <w:t>Completed evidence</w:t>
            </w:r>
          </w:p>
        </w:tc>
      </w:tr>
      <w:tr>
        <w:trPr>
          <w:cantSplit/>
        </w:trPr>
        <w:tc>
          <w:tcPr>
            <w:tcW w:type="dxa" w:w="2800"/>
            <w:vAlign w:val="center"/>
          </w:tcPr>
          <w:p>
            <w:pPr>
              <w:spacing w:after="40" w:before="40"/>
            </w:pPr>
            <w:r>
              <w:t>Requirements</w:t>
            </w:r>
          </w:p>
        </w:tc>
        <w:tc>
          <w:tcPr>
            <w:tcW w:type="dxa" w:w="6560"/>
            <w:vAlign w:val="center"/>
          </w:tcPr>
          <w:p>
            <w:pPr>
              <w:spacing w:after="40" w:before="40"/>
            </w:pPr>
            <w:r>
              <w:t>40 of 40 satisfied; 0 unresolved</w:t>
            </w:r>
          </w:p>
        </w:tc>
      </w:tr>
      <w:tr>
        <w:trPr>
          <w:cantSplit/>
        </w:trPr>
        <w:tc>
          <w:tcPr>
            <w:tcW w:type="dxa" w:w="2800"/>
            <w:vAlign w:val="center"/>
          </w:tcPr>
          <w:p>
            <w:pPr>
              <w:spacing w:after="40" w:before="40"/>
            </w:pPr>
            <w:r>
              <w:t>Regression</w:t>
            </w:r>
          </w:p>
        </w:tc>
        <w:tc>
          <w:tcPr>
            <w:tcW w:type="dxa" w:w="6560"/>
            <w:vAlign w:val="center"/>
          </w:tcPr>
          <w:p>
            <w:pPr>
              <w:spacing w:after="40" w:before="40"/>
            </w:pPr>
            <w:r>
              <w:t>125 tests passed</w:t>
            </w:r>
          </w:p>
        </w:tc>
      </w:tr>
      <w:tr>
        <w:trPr>
          <w:cantSplit/>
        </w:trPr>
        <w:tc>
          <w:tcPr>
            <w:tcW w:type="dxa" w:w="2800"/>
            <w:vAlign w:val="center"/>
          </w:tcPr>
          <w:p>
            <w:pPr>
              <w:spacing w:after="40" w:before="40"/>
            </w:pPr>
            <w:r>
              <w:t>Operational performance</w:t>
            </w:r>
          </w:p>
        </w:tc>
        <w:tc>
          <w:tcPr>
            <w:tcW w:type="dxa" w:w="6560"/>
            <w:vAlign w:val="center"/>
          </w:tcPr>
          <w:p>
            <w:pPr>
              <w:spacing w:after="40" w:before="40"/>
            </w:pPr>
            <w:r>
              <w:t>81.82% booking success; 9 successful of 11 attempts</w:t>
            </w:r>
          </w:p>
        </w:tc>
      </w:tr>
      <w:tr>
        <w:trPr>
          <w:cantSplit/>
        </w:trPr>
        <w:tc>
          <w:tcPr>
            <w:tcW w:type="dxa" w:w="2800"/>
            <w:vAlign w:val="center"/>
          </w:tcPr>
          <w:p>
            <w:pPr>
              <w:spacing w:after="40" w:before="40"/>
            </w:pPr>
            <w:r>
              <w:t>Response precision</w:t>
            </w:r>
          </w:p>
        </w:tc>
        <w:tc>
          <w:tcPr>
            <w:tcW w:type="dxa" w:w="6560"/>
            <w:vAlign w:val="center"/>
          </w:tcPr>
          <w:p>
            <w:pPr>
              <w:spacing w:after="40" w:before="40"/>
            </w:pPr>
            <w:r>
              <w:t>98.86%; 87 supported of 88 verifiable claims</w:t>
            </w:r>
          </w:p>
        </w:tc>
      </w:tr>
      <w:tr>
        <w:trPr>
          <w:cantSplit/>
        </w:trPr>
        <w:tc>
          <w:tcPr>
            <w:tcW w:type="dxa" w:w="2800"/>
            <w:vAlign w:val="center"/>
          </w:tcPr>
          <w:p>
            <w:pPr>
              <w:spacing w:after="40" w:before="40"/>
            </w:pPr>
            <w:r>
              <w:t>Demonstrated run</w:t>
            </w:r>
          </w:p>
        </w:tc>
        <w:tc>
          <w:tcPr>
            <w:tcW w:type="dxa" w:w="6560"/>
            <w:vAlign w:val="center"/>
          </w:tcPr>
          <w:p>
            <w:pPr>
              <w:spacing w:after="40" w:before="40"/>
            </w:pPr>
            <w:r>
              <w:t>4 tools attempted; 4 successful; 0 failed</w:t>
            </w:r>
          </w:p>
        </w:tc>
      </w:tr>
      <w:tr>
        <w:trPr>
          <w:cantSplit/>
        </w:trPr>
        <w:tc>
          <w:tcPr>
            <w:tcW w:type="dxa" w:w="2800"/>
            <w:vAlign w:val="center"/>
          </w:tcPr>
          <w:p>
            <w:pPr>
              <w:spacing w:after="40" w:before="40"/>
            </w:pPr>
            <w:r>
              <w:t>Safety boundary</w:t>
            </w:r>
          </w:p>
        </w:tc>
        <w:tc>
          <w:tcPr>
            <w:tcW w:type="dxa" w:w="6560"/>
            <w:vAlign w:val="center"/>
          </w:tcPr>
          <w:p>
            <w:pPr>
              <w:spacing w:after="40" w:before="40"/>
            </w:pPr>
            <w:r>
              <w:t>Synthetic data; educational prototype; no medical advice</w:t>
            </w:r>
          </w:p>
        </w:tc>
      </w:tr>
    </w:tbl>
    <w:p>
      <w:r>
        <w:br w:type="page"/>
      </w:r>
    </w:p>
    <w:p>
      <w:pPr>
        <w:pStyle w:val="Heading1"/>
      </w:pPr>
      <w:r>
        <w:t>1. Human Leadership and AI-Augmented Development Method</w:t>
      </w:r>
    </w:p>
    <w:p>
      <w:r>
        <w:t>This capstone was completed through a human-led, AI-augmented development process. Francisco Soto selected and framed the use case, interpreted the source requirements, established implementation scope and safety boundaries, approved proposed changes, executed the application and verification commands, reviewed observed results, and retained responsibility for the final submission.</w:t>
      </w:r>
    </w:p>
    <w:p>
      <w:r>
        <w:t>Generative AI supported requirements analysis, bounded code recommendations, debugging, test-case development, evidence organization, technical writing, and presentation development. AI-generated recommendations were treated as provisional work products. They were not accepted as functioning implementation or project evidence until the project author executed, observed, tested, and verified the relevant results.</w:t>
      </w:r>
    </w:p>
    <w:p>
      <w:pPr>
        <w:pStyle w:val="Heading2"/>
      </w:pPr>
      <w:r>
        <w:t>Research Basis for the Working Method</w:t>
      </w:r>
    </w:p>
    <w:p>
      <w:r>
        <w:t>Research characterizes AI-assisted programming as an interactive engineering activity rather than a transfer of accountability. Barke, James, and Polikarpova (2023) observed acceleration mode, in which programmers use AI to advance an understood solution, and exploration mode, in which AI helps investigate possible paths. Both modes appeared in this project: acceleration supported defined corrections, while exploration supported requirements interpretation, troubleshooting, and comparison of alternatives.</w:t>
      </w:r>
    </w:p>
    <w:p>
      <w:r>
        <w:t>Mozannar et al. (2024) showed that AI-assisted programming includes substantial human activity devoted to examining, understanding, validating, rejecting, and correcting recommendations. Perry et al. (2023) further demonstrated that access to AI assistance can increase security risk and user overconfidence. Together, these findings support a controlled workflow in which AI output remains provisional until independently verified.</w:t>
      </w:r>
    </w:p>
    <w:tbl>
      <w:tblPr>
        <w:tblW w:type="auto" w:w="0"/>
        <w:jc w:val="center"/>
        <w:tblLayout w:type="fixed"/>
        <w:tblLook w:firstColumn="1" w:firstRow="1" w:lastColumn="0" w:lastRow="0" w:noHBand="0" w:noVBand="1" w:val="04A0"/>
      </w:tblPr>
      <w:tblGrid>
        <w:gridCol w:w="9648"/>
      </w:tblGrid>
      <w:tr>
        <w:trPr>
          <w:cantSplit/>
        </w:trPr>
        <w:tc>
          <w:tcPr>
            <w:tcW w:type="dxa" w:w="9360"/>
            <w:shd w:fill="E8F7EF"/>
            <w:vAlign w:val="center"/>
          </w:tcPr>
          <w:p>
            <w:pPr>
              <w:pStyle w:val="Callout"/>
            </w:pPr>
            <w:r>
              <w:rPr>
                <w:b/>
              </w:rPr>
              <w:t xml:space="preserve">Controlled acceptance sequence: </w:t>
            </w:r>
            <w:r>
              <w:rPr>
                <w:b w:val="0"/>
              </w:rPr>
              <w:t>AI recommendation -&gt; human review -&gt; approval -&gt; execution -&gt; observation -&gt; testing -&gt; evidence-based acceptance.</w:t>
            </w:r>
          </w:p>
        </w:tc>
      </w:tr>
    </w:tbl>
    <w:p>
      <w:pPr>
        <w:spacing w:after="0"/>
      </w:pPr>
    </w:p>
    <w:p>
      <w:pPr>
        <w:pStyle w:val="Heading2"/>
      </w:pPr>
      <w:r>
        <w:t>Responsibility Allocation</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4680"/>
            <w:shd w:fill="F2F4F7"/>
            <w:vAlign w:val="center"/>
          </w:tcPr>
          <w:p>
            <w:pPr>
              <w:spacing w:after="40" w:before="40"/>
            </w:pPr>
            <w:r>
              <w:rPr>
                <w:b/>
                <w:color w:val="17324D"/>
              </w:rPr>
              <w:t>Human-led responsibility</w:t>
            </w:r>
          </w:p>
        </w:tc>
        <w:tc>
          <w:tcPr>
            <w:tcW w:type="dxa" w:w="4680"/>
            <w:shd w:fill="F2F4F7"/>
            <w:vAlign w:val="center"/>
          </w:tcPr>
          <w:p>
            <w:pPr>
              <w:spacing w:after="40" w:before="40"/>
            </w:pPr>
            <w:r>
              <w:rPr>
                <w:b/>
                <w:color w:val="17324D"/>
              </w:rPr>
              <w:t>AI-supported activity</w:t>
            </w:r>
          </w:p>
        </w:tc>
      </w:tr>
      <w:tr>
        <w:trPr>
          <w:cantSplit/>
        </w:trPr>
        <w:tc>
          <w:tcPr>
            <w:tcW w:type="dxa" w:w="4680"/>
            <w:vAlign w:val="center"/>
          </w:tcPr>
          <w:p>
            <w:pPr>
              <w:spacing w:after="40" w:before="40"/>
            </w:pPr>
            <w:r>
              <w:t>Define the use case, outcomes, and safety boundaries</w:t>
            </w:r>
          </w:p>
        </w:tc>
        <w:tc>
          <w:tcPr>
            <w:tcW w:type="dxa" w:w="4680"/>
            <w:vAlign w:val="center"/>
          </w:tcPr>
          <w:p>
            <w:pPr>
              <w:spacing w:after="40" w:before="40"/>
            </w:pPr>
            <w:r>
              <w:t>Analyze requirements and identify possible gaps</w:t>
            </w:r>
          </w:p>
        </w:tc>
      </w:tr>
      <w:tr>
        <w:trPr>
          <w:cantSplit/>
        </w:trPr>
        <w:tc>
          <w:tcPr>
            <w:tcW w:type="dxa" w:w="4680"/>
            <w:vAlign w:val="center"/>
          </w:tcPr>
          <w:p>
            <w:pPr>
              <w:spacing w:after="40" w:before="40"/>
            </w:pPr>
            <w:r>
              <w:t>Approve or reject proposed changes</w:t>
            </w:r>
          </w:p>
        </w:tc>
        <w:tc>
          <w:tcPr>
            <w:tcW w:type="dxa" w:w="4680"/>
            <w:vAlign w:val="center"/>
          </w:tcPr>
          <w:p>
            <w:pPr>
              <w:spacing w:after="40" w:before="40"/>
            </w:pPr>
            <w:r>
              <w:t>Suggest bounded implementation approaches and code patterns</w:t>
            </w:r>
          </w:p>
        </w:tc>
      </w:tr>
      <w:tr>
        <w:trPr>
          <w:cantSplit/>
        </w:trPr>
        <w:tc>
          <w:tcPr>
            <w:tcW w:type="dxa" w:w="4680"/>
            <w:vAlign w:val="center"/>
          </w:tcPr>
          <w:p>
            <w:pPr>
              <w:spacing w:after="40" w:before="40"/>
            </w:pPr>
            <w:r>
              <w:t>Execute commands and application workflows</w:t>
            </w:r>
          </w:p>
        </w:tc>
        <w:tc>
          <w:tcPr>
            <w:tcW w:type="dxa" w:w="4680"/>
            <w:vAlign w:val="center"/>
          </w:tcPr>
          <w:p>
            <w:pPr>
              <w:spacing w:after="40" w:before="40"/>
            </w:pPr>
            <w:r>
              <w:t>Support debugging and interpretation of errors</w:t>
            </w:r>
          </w:p>
        </w:tc>
      </w:tr>
      <w:tr>
        <w:trPr>
          <w:cantSplit/>
        </w:trPr>
        <w:tc>
          <w:tcPr>
            <w:tcW w:type="dxa" w:w="4680"/>
            <w:vAlign w:val="center"/>
          </w:tcPr>
          <w:p>
            <w:pPr>
              <w:spacing w:after="40" w:before="40"/>
            </w:pPr>
            <w:r>
              <w:t>Observe behavior and judge evidence sufficiency</w:t>
            </w:r>
          </w:p>
        </w:tc>
        <w:tc>
          <w:tcPr>
            <w:tcW w:type="dxa" w:w="4680"/>
            <w:vAlign w:val="center"/>
          </w:tcPr>
          <w:p>
            <w:pPr>
              <w:spacing w:after="40" w:before="40"/>
            </w:pPr>
            <w:r>
              <w:t>Propose tests and help organize observed results</w:t>
            </w:r>
          </w:p>
        </w:tc>
      </w:tr>
      <w:tr>
        <w:trPr>
          <w:cantSplit/>
        </w:trPr>
        <w:tc>
          <w:tcPr>
            <w:tcW w:type="dxa" w:w="4680"/>
            <w:vAlign w:val="center"/>
          </w:tcPr>
          <w:p>
            <w:pPr>
              <w:spacing w:after="40" w:before="40"/>
            </w:pPr>
            <w:r>
              <w:t>Protect credentials and review submission contents</w:t>
            </w:r>
          </w:p>
        </w:tc>
        <w:tc>
          <w:tcPr>
            <w:tcW w:type="dxa" w:w="4680"/>
            <w:vAlign w:val="center"/>
          </w:tcPr>
          <w:p>
            <w:pPr>
              <w:spacing w:after="40" w:before="40"/>
            </w:pPr>
            <w:r>
              <w:t>Support security-check and packaging procedures</w:t>
            </w:r>
          </w:p>
        </w:tc>
      </w:tr>
      <w:tr>
        <w:trPr>
          <w:cantSplit/>
        </w:trPr>
        <w:tc>
          <w:tcPr>
            <w:tcW w:type="dxa" w:w="4680"/>
            <w:vAlign w:val="center"/>
          </w:tcPr>
          <w:p>
            <w:pPr>
              <w:spacing w:after="40" w:before="40"/>
            </w:pPr>
            <w:r>
              <w:t>Retain authorship and final accountability</w:t>
            </w:r>
          </w:p>
        </w:tc>
        <w:tc>
          <w:tcPr>
            <w:tcW w:type="dxa" w:w="4680"/>
            <w:vAlign w:val="center"/>
          </w:tcPr>
          <w:p>
            <w:pPr>
              <w:spacing w:after="40" w:before="40"/>
            </w:pPr>
            <w:r>
              <w:t>Assist with report and presentation development</w:t>
            </w:r>
          </w:p>
        </w:tc>
      </w:tr>
    </w:tbl>
    <w:p>
      <w:pPr>
        <w:pStyle w:val="Heading2"/>
      </w:pPr>
      <w:r>
        <w:t>Verification and Acceptance Standard</w:t>
      </w:r>
    </w:p>
    <w:p>
      <w:pPr>
        <w:pStyle w:val="ListBullet"/>
        <w:spacing w:after="120"/>
        <w:ind w:left="720" w:hanging="360"/>
      </w:pPr>
      <w:r>
        <w:t>Trace the proposed change to a source requirement or documented implementation gap.</w:t>
      </w:r>
    </w:p>
    <w:p>
      <w:pPr>
        <w:pStyle w:val="ListBullet"/>
        <w:spacing w:after="120"/>
        <w:ind w:left="720" w:hanging="360"/>
      </w:pPr>
      <w:r>
        <w:t>Confirm that the change remains within the approved scope and architecture.</w:t>
      </w:r>
    </w:p>
    <w:p>
      <w:pPr>
        <w:pStyle w:val="ListBullet"/>
        <w:spacing w:after="120"/>
        <w:ind w:left="720" w:hanging="360"/>
      </w:pPr>
      <w:r>
        <w:t>Require human review and authorization before implementation.</w:t>
      </w:r>
    </w:p>
    <w:p>
      <w:pPr>
        <w:pStyle w:val="ListBullet"/>
        <w:spacing w:after="120"/>
        <w:ind w:left="720" w:hanging="360"/>
      </w:pPr>
      <w:r>
        <w:t>Compile and perform relevant component and integration tests.</w:t>
      </w:r>
    </w:p>
    <w:p>
      <w:pPr>
        <w:pStyle w:val="ListBullet"/>
        <w:spacing w:after="120"/>
        <w:ind w:left="720" w:hanging="360"/>
      </w:pPr>
      <w:r>
        <w:t>Execute the full regression suite and inspect live behavior when required.</w:t>
      </w:r>
    </w:p>
    <w:p>
      <w:pPr>
        <w:pStyle w:val="ListBullet"/>
        <w:spacing w:after="120"/>
        <w:ind w:left="720" w:hanging="360"/>
      </w:pPr>
      <w:r>
        <w:t>Record evidence accurately and exclude credentials or sensitive configuration from the submission.</w:t>
      </w:r>
    </w:p>
    <w:p>
      <w:r>
        <w:t>Using this standard, the completed build recorded 40 of 40 requirements satisfied, zero unresolved requirements, successful Python compilation, and 125 passing regression tests. These are observed project results, not AI-generated assertions.</w:t>
      </w:r>
    </w:p>
    <w:p>
      <w:pPr>
        <w:pStyle w:val="Heading1"/>
      </w:pPr>
      <w:r>
        <w:t>2. Problem and Use Case</w:t>
      </w:r>
    </w:p>
    <w:p>
      <w:r>
        <w:t>Healthcare-related workflows often require several dependent actions: interpret a request, identify the correct patient, retrieve a medical record, locate relevant knowledge, match a specialty, decide whether an appointment action is authorized, and synthesize a response. A single language-model response can hide these dependencies and make failures difficult to inspect.</w:t>
      </w:r>
    </w:p>
    <w:p>
      <w:r>
        <w:t>The design problem was therefore not simply to produce a plausible answer. It was to create an observable workflow in which each major decision could be validated, traced to evidence, and prevented from exceeding its authority.</w:t>
      </w:r>
    </w:p>
    <w:p>
      <w:pPr>
        <w:pStyle w:val="Heading2"/>
      </w:pPr>
      <w:r>
        <w:t>Intended Demonstration</w:t>
      </w:r>
    </w:p>
    <w:p>
      <w:pPr>
        <w:pStyle w:val="ListBullet"/>
        <w:spacing w:after="120"/>
        <w:ind w:left="720" w:hanging="360"/>
      </w:pPr>
      <w:r>
        <w:t>Interpret natural-language healthcare workflow requests into a structured RequestIntent.</w:t>
      </w:r>
    </w:p>
    <w:p>
      <w:pPr>
        <w:pStyle w:val="ListBullet"/>
        <w:spacing w:after="120"/>
        <w:ind w:left="720" w:hanging="360"/>
      </w:pPr>
      <w:r>
        <w:t>Retrieve patient and medical-record information within an explicit patient scope.</w:t>
      </w:r>
    </w:p>
    <w:p>
      <w:pPr>
        <w:pStyle w:val="ListBullet"/>
        <w:spacing w:after="120"/>
        <w:ind w:left="720" w:hanging="360"/>
      </w:pPr>
      <w:r>
        <w:t>Plan ordered steps while keeping planning separate from tool authorization.</w:t>
      </w:r>
    </w:p>
    <w:p>
      <w:pPr>
        <w:pStyle w:val="ListBullet"/>
        <w:spacing w:after="120"/>
        <w:ind w:left="720" w:hanging="360"/>
      </w:pPr>
      <w:r>
        <w:t>Use deterministic tools for patient, record, doctor, and appointment operations.</w:t>
      </w:r>
    </w:p>
    <w:p>
      <w:pPr>
        <w:pStyle w:val="ListBullet"/>
        <w:spacing w:after="120"/>
        <w:ind w:left="720" w:hanging="360"/>
      </w:pPr>
      <w:r>
        <w:t>Evaluate responses before accepting them for durable patient memory.</w:t>
      </w:r>
    </w:p>
    <w:p>
      <w:pPr>
        <w:pStyle w:val="ListBullet"/>
        <w:spacing w:after="120"/>
        <w:ind w:left="720" w:hanging="360"/>
      </w:pPr>
      <w:r>
        <w:t>Expose provenance, tool outcomes, metrics, and memory events to the reviewer.</w:t>
      </w:r>
    </w:p>
    <w:p>
      <w:pPr>
        <w:pStyle w:val="Heading2"/>
      </w:pPr>
      <w:r>
        <w:t>Operating Boundary</w:t>
      </w:r>
    </w:p>
    <w:p>
      <w:r>
        <w:t>The application uses synthetic demonstration data and is an educational workflow-automation prototype. It is not a medical diagnostic system, does not replace qualified healthcare professionals, and does not authorize treatment decisions.</w:t>
      </w:r>
    </w:p>
    <w:p>
      <w:r>
        <w:br w:type="page"/>
      </w:r>
    </w:p>
    <w:p>
      <w:pPr>
        <w:pStyle w:val="Heading1"/>
      </w:pPr>
      <w:r>
        <w:t>3. Requirements and Traceability</w:t>
      </w:r>
    </w:p>
    <w:p>
      <w:r>
        <w:t>The project was completed using a requirement-first method: source requirement, literal interpretation, existing implementation, identified gap, smallest compliant change, component verification, integration verification, visible evidence, and closure. This method reduced uncontrolled scope expansion and made the final compliance decision auditable.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100"/>
            <w:shd w:fill="F2F4F7"/>
            <w:vAlign w:val="center"/>
          </w:tcPr>
          <w:p>
            <w:pPr>
              <w:spacing w:after="40" w:before="40"/>
            </w:pPr>
            <w:r>
              <w:rPr>
                <w:b/>
                <w:color w:val="17324D"/>
              </w:rPr>
              <w:t>Capability</w:t>
            </w:r>
          </w:p>
        </w:tc>
        <w:tc>
          <w:tcPr>
            <w:tcW w:type="dxa" w:w="3600"/>
            <w:shd w:fill="F2F4F7"/>
            <w:vAlign w:val="center"/>
          </w:tcPr>
          <w:p>
            <w:pPr>
              <w:spacing w:after="40" w:before="40"/>
            </w:pPr>
            <w:r>
              <w:rPr>
                <w:b/>
                <w:color w:val="17324D"/>
              </w:rPr>
              <w:t>Implementation evidence</w:t>
            </w:r>
          </w:p>
        </w:tc>
        <w:tc>
          <w:tcPr>
            <w:tcW w:type="dxa" w:w="3660"/>
            <w:shd w:fill="F2F4F7"/>
            <w:vAlign w:val="center"/>
          </w:tcPr>
          <w:p>
            <w:pPr>
              <w:spacing w:after="40" w:before="40"/>
            </w:pPr>
            <w:r>
              <w:rPr>
                <w:b/>
                <w:color w:val="17324D"/>
              </w:rPr>
              <w:t>Visible evidence</w:t>
            </w:r>
          </w:p>
        </w:tc>
      </w:tr>
      <w:tr>
        <w:trPr>
          <w:cantSplit/>
        </w:trPr>
        <w:tc>
          <w:tcPr>
            <w:tcW w:type="dxa" w:w="2100"/>
            <w:vAlign w:val="center"/>
          </w:tcPr>
          <w:p>
            <w:pPr>
              <w:spacing w:after="40" w:before="40"/>
            </w:pPr>
            <w:r>
              <w:t>Patient grounding</w:t>
            </w:r>
          </w:p>
        </w:tc>
        <w:tc>
          <w:tcPr>
            <w:tcW w:type="dxa" w:w="3600"/>
            <w:vAlign w:val="center"/>
          </w:tcPr>
          <w:p>
            <w:pPr>
              <w:spacing w:after="40" w:before="40"/>
            </w:pPr>
            <w:r>
              <w:t>Patient and MedicalRecord models; retrieval tools</w:t>
            </w:r>
          </w:p>
        </w:tc>
        <w:tc>
          <w:tcPr>
            <w:tcW w:type="dxa" w:w="3660"/>
            <w:vAlign w:val="center"/>
          </w:tcPr>
          <w:p>
            <w:pPr>
              <w:spacing w:after="40" w:before="40"/>
            </w:pPr>
            <w:r>
              <w:t>Patient View and Medical Record</w:t>
            </w:r>
          </w:p>
        </w:tc>
      </w:tr>
      <w:tr>
        <w:trPr>
          <w:cantSplit/>
        </w:trPr>
        <w:tc>
          <w:tcPr>
            <w:tcW w:type="dxa" w:w="2100"/>
            <w:vAlign w:val="center"/>
          </w:tcPr>
          <w:p>
            <w:pPr>
              <w:spacing w:after="40" w:before="40"/>
            </w:pPr>
            <w:r>
              <w:t>Planning</w:t>
            </w:r>
          </w:p>
        </w:tc>
        <w:tc>
          <w:tcPr>
            <w:tcW w:type="dxa" w:w="3600"/>
            <w:vAlign w:val="center"/>
          </w:tcPr>
          <w:p>
            <w:pPr>
              <w:spacing w:after="40" w:before="40"/>
            </w:pPr>
            <w:r>
              <w:t>RequestIntent.plan_steps; interpreter prompt</w:t>
            </w:r>
          </w:p>
        </w:tc>
        <w:tc>
          <w:tcPr>
            <w:tcW w:type="dxa" w:w="3660"/>
            <w:vAlign w:val="center"/>
          </w:tcPr>
          <w:p>
            <w:pPr>
              <w:spacing w:after="40" w:before="40"/>
            </w:pPr>
            <w:r>
              <w:t>Planning View and ordered steps</w:t>
            </w:r>
          </w:p>
        </w:tc>
      </w:tr>
      <w:tr>
        <w:trPr>
          <w:cantSplit/>
        </w:trPr>
        <w:tc>
          <w:tcPr>
            <w:tcW w:type="dxa" w:w="2100"/>
            <w:vAlign w:val="center"/>
          </w:tcPr>
          <w:p>
            <w:pPr>
              <w:spacing w:after="40" w:before="40"/>
            </w:pPr>
            <w:r>
              <w:t>Doctor matching</w:t>
            </w:r>
          </w:p>
        </w:tc>
        <w:tc>
          <w:tcPr>
            <w:tcW w:type="dxa" w:w="3600"/>
            <w:vAlign w:val="center"/>
          </w:tcPr>
          <w:p>
            <w:pPr>
              <w:spacing w:after="40" w:before="40"/>
            </w:pPr>
            <w:r>
              <w:t>find_doctors_by_specialty</w:t>
            </w:r>
          </w:p>
        </w:tc>
        <w:tc>
          <w:tcPr>
            <w:tcW w:type="dxa" w:w="3660"/>
            <w:vAlign w:val="center"/>
          </w:tcPr>
          <w:p>
            <w:pPr>
              <w:spacing w:after="40" w:before="40"/>
            </w:pPr>
            <w:r>
              <w:t>Doctor View and specialty boundary</w:t>
            </w:r>
          </w:p>
        </w:tc>
      </w:tr>
      <w:tr>
        <w:trPr>
          <w:cantSplit/>
        </w:trPr>
        <w:tc>
          <w:tcPr>
            <w:tcW w:type="dxa" w:w="2100"/>
            <w:vAlign w:val="center"/>
          </w:tcPr>
          <w:p>
            <w:pPr>
              <w:spacing w:after="40" w:before="40"/>
            </w:pPr>
            <w:r>
              <w:t>Safe booking</w:t>
            </w:r>
          </w:p>
        </w:tc>
        <w:tc>
          <w:tcPr>
            <w:tcW w:type="dxa" w:w="3600"/>
            <w:vAlign w:val="center"/>
          </w:tcPr>
          <w:p>
            <w:pPr>
              <w:spacing w:after="40" w:before="40"/>
            </w:pPr>
            <w:r>
              <w:t>appointment_requested gate</w:t>
            </w:r>
          </w:p>
        </w:tc>
        <w:tc>
          <w:tcPr>
            <w:tcW w:type="dxa" w:w="3660"/>
            <w:vAlign w:val="center"/>
          </w:tcPr>
          <w:p>
            <w:pPr>
              <w:spacing w:after="40" w:before="40"/>
            </w:pPr>
            <w:r>
              <w:t>Workflow Diagnostics and skipped booking</w:t>
            </w:r>
          </w:p>
        </w:tc>
      </w:tr>
      <w:tr>
        <w:trPr>
          <w:cantSplit/>
        </w:trPr>
        <w:tc>
          <w:tcPr>
            <w:tcW w:type="dxa" w:w="2100"/>
            <w:vAlign w:val="center"/>
          </w:tcPr>
          <w:p>
            <w:pPr>
              <w:spacing w:after="40" w:before="40"/>
            </w:pPr>
            <w:r>
              <w:t>Evaluation</w:t>
            </w:r>
          </w:p>
        </w:tc>
        <w:tc>
          <w:tcPr>
            <w:tcW w:type="dxa" w:w="3600"/>
            <w:vAlign w:val="center"/>
          </w:tcPr>
          <w:p>
            <w:pPr>
              <w:spacing w:after="40" w:before="40"/>
            </w:pPr>
            <w:r>
              <w:t>deterministic and semantic evaluators</w:t>
            </w:r>
          </w:p>
        </w:tc>
        <w:tc>
          <w:tcPr>
            <w:tcW w:type="dxa" w:w="3660"/>
            <w:vAlign w:val="center"/>
          </w:tcPr>
          <w:p>
            <w:pPr>
              <w:spacing w:after="40" w:before="40"/>
            </w:pPr>
            <w:r>
              <w:t>Evaluation Status and precision metrics</w:t>
            </w:r>
          </w:p>
        </w:tc>
      </w:tr>
      <w:tr>
        <w:trPr>
          <w:cantSplit/>
        </w:trPr>
        <w:tc>
          <w:tcPr>
            <w:tcW w:type="dxa" w:w="2100"/>
            <w:vAlign w:val="center"/>
          </w:tcPr>
          <w:p>
            <w:pPr>
              <w:spacing w:after="40" w:before="40"/>
            </w:pPr>
            <w:r>
              <w:t>Memory governance</w:t>
            </w:r>
          </w:p>
        </w:tc>
        <w:tc>
          <w:tcPr>
            <w:tcW w:type="dxa" w:w="3600"/>
            <w:vAlign w:val="center"/>
          </w:tcPr>
          <w:p>
            <w:pPr>
              <w:spacing w:after="40" w:before="40"/>
            </w:pPr>
            <w:r>
              <w:t>patient-scoped READ/WRITE/SKIP events</w:t>
            </w:r>
          </w:p>
        </w:tc>
        <w:tc>
          <w:tcPr>
            <w:tcW w:type="dxa" w:w="3660"/>
            <w:vAlign w:val="center"/>
          </w:tcPr>
          <w:p>
            <w:pPr>
              <w:spacing w:after="40" w:before="40"/>
            </w:pPr>
            <w:r>
              <w:t>Memory Diagnostics</w:t>
            </w:r>
          </w:p>
        </w:tc>
      </w:tr>
    </w:tbl>
    <w:p>
      <w:r>
        <w:t>The definitive compliance register remains the authoritative requirement record. The report and evidence deck provide narrative and visual navigation to that record.</w:t>
      </w:r>
    </w:p>
    <w:p>
      <w:r>
        <w:br w:type="page"/>
      </w:r>
    </w:p>
    <w:p>
      <w:pPr>
        <w:pStyle w:val="Heading1"/>
      </w:pPr>
      <w:r>
        <w:t>4. System Architecture</w:t>
      </w:r>
    </w:p>
    <w:p>
      <w:r>
        <w:t>The system is organized as a bounded evidence pipeline. Each stage accepts a defined input, produces inspectable state, and passes control to the next stage only when its conditions are met.</w:t>
      </w:r>
    </w:p>
    <w:p>
      <w:pPr>
        <w:keepNext/>
        <w:jc w:val="center"/>
      </w:pPr>
      <w:r>
        <w:drawing>
          <wp:inline xmlns:a="http://schemas.openxmlformats.org/drawingml/2006/main" xmlns:pic="http://schemas.openxmlformats.org/drawingml/2006/picture">
            <wp:extent cx="5806440" cy="3266122"/>
            <wp:docPr id="1" name="Picture 1" descr="Architecture diagram showing request interpretation, patient retrieval, tools and knowledge, evaluation and memory, and response synthesis."/>
            <wp:cNvGraphicFramePr>
              <a:graphicFrameLocks noChangeAspect="1"/>
            </wp:cNvGraphicFramePr>
            <a:graphic>
              <a:graphicData uri="http://schemas.openxmlformats.org/drawingml/2006/picture">
                <pic:pic>
                  <pic:nvPicPr>
                    <pic:cNvPr id="0" name="slide-10.png"/>
                    <pic:cNvPicPr/>
                  </pic:nvPicPr>
                  <pic:blipFill>
                    <a:blip r:embed="rId13"/>
                    <a:stretch>
                      <a:fillRect/>
                    </a:stretch>
                  </pic:blipFill>
                  <pic:spPr>
                    <a:xfrm>
                      <a:off x="0" y="0"/>
                      <a:ext cx="5806440" cy="3266122"/>
                    </a:xfrm>
                    <a:prstGeom prst="rect"/>
                  </pic:spPr>
                </pic:pic>
              </a:graphicData>
            </a:graphic>
          </wp:inline>
        </w:drawing>
      </w:r>
    </w:p>
    <w:p>
      <w:pPr>
        <w:jc w:val="center"/>
      </w:pPr>
      <w:r>
        <w:rPr>
          <w:i/>
          <w:color w:val="607080"/>
          <w:sz w:val="18"/>
        </w:rPr>
        <w:t>Figure 1. Explanatory architecture view used in the final evidence deck.</w:t>
      </w:r>
    </w:p>
    <w:p>
      <w:r>
        <w:t>The central reliability mechanism is separation of responsibilities. The request interpreter extracts intent and proposes a plan; the graph controls execution; tools perform bounded operations; evaluators assess output; and the memory layer persists only accepted, patient-scoped information.</w:t>
      </w:r>
    </w:p>
    <w:p>
      <w:r>
        <w:br w:type="page"/>
      </w:r>
    </w:p>
    <w:p>
      <w:pPr>
        <w:pStyle w:val="Heading1"/>
      </w:pPr>
      <w:r>
        <w:t>5. Agent Workflow Design</w:t>
      </w:r>
    </w:p>
    <w:p>
      <w:pPr>
        <w:pStyle w:val="Heading2"/>
      </w:pPr>
      <w:r>
        <w:t>Structured Request Interpretation</w:t>
      </w:r>
    </w:p>
    <w:p>
      <w:r>
        <w:t>The RequestIntent contract captures patient identity, requested specialty, reason, appointment_requested, and an ordered plan_steps list. Structured output limits ambiguity and gives downstream components a stable interface.</w:t>
      </w:r>
    </w:p>
    <w:p>
      <w:pPr>
        <w:pStyle w:val="Heading2"/>
      </w:pPr>
      <w:r>
        <w:t>Planning Versus Execution</w:t>
      </w:r>
    </w:p>
    <w:p>
      <w:r>
        <w:t>REQ-016 was satisfied by adding prompt-generated plan_steps to RequestIntent. The planning sequence is descriptive: it identifies retrieval, validation, specialty matching, conditional appointment booking, and response synthesis. The plan explicitly does not authorize tool execution.</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4700"/>
            <w:shd w:fill="F2F4F7"/>
            <w:vAlign w:val="center"/>
          </w:tcPr>
          <w:p>
            <w:pPr>
              <w:spacing w:after="40" w:before="40"/>
            </w:pPr>
            <w:r>
              <w:rPr>
                <w:b/>
                <w:color w:val="17324D"/>
              </w:rPr>
              <w:t>Ordered planning responsibility</w:t>
            </w:r>
          </w:p>
        </w:tc>
        <w:tc>
          <w:tcPr>
            <w:tcW w:type="dxa" w:w="4660"/>
            <w:shd w:fill="F2F4F7"/>
            <w:vAlign w:val="center"/>
          </w:tcPr>
          <w:p>
            <w:pPr>
              <w:spacing w:after="40" w:before="40"/>
            </w:pPr>
            <w:r>
              <w:rPr>
                <w:b/>
                <w:color w:val="17324D"/>
              </w:rPr>
              <w:t>Execution condition</w:t>
            </w:r>
          </w:p>
        </w:tc>
      </w:tr>
      <w:tr>
        <w:trPr>
          <w:cantSplit/>
        </w:trPr>
        <w:tc>
          <w:tcPr>
            <w:tcW w:type="dxa" w:w="4700"/>
            <w:vAlign w:val="center"/>
          </w:tcPr>
          <w:p>
            <w:pPr>
              <w:spacing w:after="40" w:before="40"/>
            </w:pPr>
            <w:r>
              <w:t>Retrieve patient information</w:t>
            </w:r>
          </w:p>
        </w:tc>
        <w:tc>
          <w:tcPr>
            <w:tcW w:type="dxa" w:w="4660"/>
            <w:vAlign w:val="center"/>
          </w:tcPr>
          <w:p>
            <w:pPr>
              <w:spacing w:after="40" w:before="40"/>
            </w:pPr>
            <w:r>
              <w:t>Valid patient scope is required</w:t>
            </w:r>
          </w:p>
        </w:tc>
      </w:tr>
      <w:tr>
        <w:trPr>
          <w:cantSplit/>
        </w:trPr>
        <w:tc>
          <w:tcPr>
            <w:tcW w:type="dxa" w:w="4700"/>
            <w:vAlign w:val="center"/>
          </w:tcPr>
          <w:p>
            <w:pPr>
              <w:spacing w:after="40" w:before="40"/>
            </w:pPr>
            <w:r>
              <w:t>Validate patient identity</w:t>
            </w:r>
          </w:p>
        </w:tc>
        <w:tc>
          <w:tcPr>
            <w:tcW w:type="dxa" w:w="4660"/>
            <w:vAlign w:val="center"/>
          </w:tcPr>
          <w:p>
            <w:pPr>
              <w:spacing w:after="40" w:before="40"/>
            </w:pPr>
            <w:r>
              <w:t>Retrieved identity must match the request</w:t>
            </w:r>
          </w:p>
        </w:tc>
      </w:tr>
      <w:tr>
        <w:trPr>
          <w:cantSplit/>
        </w:trPr>
        <w:tc>
          <w:tcPr>
            <w:tcW w:type="dxa" w:w="4700"/>
            <w:vAlign w:val="center"/>
          </w:tcPr>
          <w:p>
            <w:pPr>
              <w:spacing w:after="40" w:before="40"/>
            </w:pPr>
            <w:r>
              <w:t>Match specialty and retrieve knowledge</w:t>
            </w:r>
          </w:p>
        </w:tc>
        <w:tc>
          <w:tcPr>
            <w:tcW w:type="dxa" w:w="4660"/>
            <w:vAlign w:val="center"/>
          </w:tcPr>
          <w:p>
            <w:pPr>
              <w:spacing w:after="40" w:before="40"/>
            </w:pPr>
            <w:r>
              <w:t>Performed when relevant to the request</w:t>
            </w:r>
          </w:p>
        </w:tc>
      </w:tr>
      <w:tr>
        <w:trPr>
          <w:cantSplit/>
        </w:trPr>
        <w:tc>
          <w:tcPr>
            <w:tcW w:type="dxa" w:w="4700"/>
            <w:vAlign w:val="center"/>
          </w:tcPr>
          <w:p>
            <w:pPr>
              <w:spacing w:after="40" w:before="40"/>
            </w:pPr>
            <w:r>
              <w:t>Book an appointment</w:t>
            </w:r>
          </w:p>
        </w:tc>
        <w:tc>
          <w:tcPr>
            <w:tcW w:type="dxa" w:w="4660"/>
            <w:vAlign w:val="center"/>
          </w:tcPr>
          <w:p>
            <w:pPr>
              <w:spacing w:after="40" w:before="40"/>
            </w:pPr>
            <w:r>
              <w:t>Only when explicitly requested</w:t>
            </w:r>
          </w:p>
        </w:tc>
      </w:tr>
      <w:tr>
        <w:trPr>
          <w:cantSplit/>
        </w:trPr>
        <w:tc>
          <w:tcPr>
            <w:tcW w:type="dxa" w:w="4700"/>
            <w:vAlign w:val="center"/>
          </w:tcPr>
          <w:p>
            <w:pPr>
              <w:spacing w:after="40" w:before="40"/>
            </w:pPr>
            <w:r>
              <w:t>Synthesize and present response</w:t>
            </w:r>
          </w:p>
        </w:tc>
        <w:tc>
          <w:tcPr>
            <w:tcW w:type="dxa" w:w="4660"/>
            <w:vAlign w:val="center"/>
          </w:tcPr>
          <w:p>
            <w:pPr>
              <w:spacing w:after="40" w:before="40"/>
            </w:pPr>
            <w:r>
              <w:t>Uses available structured and retrieved evidence</w:t>
            </w:r>
          </w:p>
        </w:tc>
      </w:tr>
    </w:tbl>
    <w:p>
      <w:pPr>
        <w:pStyle w:val="Heading2"/>
      </w:pPr>
      <w:r>
        <w:t>Conditional Action Boundary</w:t>
      </w:r>
    </w:p>
    <w:p>
      <w:r>
        <w:t>In the demonstrated summary-only request, patient and knowledge retrieval succeeded while doctor search and appointment booking were skipped. This is positive evidence that the system can refrain from an action, not merely evidence that it can execute one.</w:t>
      </w:r>
    </w:p>
    <w:p>
      <w:r>
        <w:br w:type="page"/>
      </w:r>
    </w:p>
    <w:p>
      <w:pPr>
        <w:pStyle w:val="Heading1"/>
      </w:pPr>
      <w:r>
        <w:t>6. Evaluation and Reliability</w:t>
      </w:r>
    </w:p>
    <w:p>
      <w:r>
        <w:t>Reliability is treated as an architectural property. Evaluation is integrated into the workflow rather than added as an after-the-fact narrative. Deterministic checks, semantic faithfulness evaluation, response-precision measurement, tool-event persistence, and memory gates create complementary evidence.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750"/>
            <w:shd w:fill="F2F4F7"/>
            <w:vAlign w:val="center"/>
          </w:tcPr>
          <w:p>
            <w:pPr>
              <w:spacing w:after="40" w:before="40"/>
            </w:pPr>
            <w:r>
              <w:rPr>
                <w:b/>
                <w:color w:val="17324D"/>
              </w:rPr>
              <w:t>Measure</w:t>
            </w:r>
          </w:p>
        </w:tc>
        <w:tc>
          <w:tcPr>
            <w:tcW w:type="dxa" w:w="2200"/>
            <w:shd w:fill="F2F4F7"/>
            <w:vAlign w:val="center"/>
          </w:tcPr>
          <w:p>
            <w:pPr>
              <w:spacing w:after="40" w:before="40"/>
            </w:pPr>
            <w:r>
              <w:rPr>
                <w:b/>
                <w:color w:val="17324D"/>
              </w:rPr>
              <w:t>Final value</w:t>
            </w:r>
          </w:p>
        </w:tc>
        <w:tc>
          <w:tcPr>
            <w:tcW w:type="dxa" w:w="4410"/>
            <w:shd w:fill="F2F4F7"/>
            <w:vAlign w:val="center"/>
          </w:tcPr>
          <w:p>
            <w:pPr>
              <w:spacing w:after="40" w:before="40"/>
            </w:pPr>
            <w:r>
              <w:rPr>
                <w:b/>
                <w:color w:val="17324D"/>
              </w:rPr>
              <w:t>Interpretation</w:t>
            </w:r>
          </w:p>
        </w:tc>
      </w:tr>
      <w:tr>
        <w:trPr>
          <w:cantSplit/>
        </w:trPr>
        <w:tc>
          <w:tcPr>
            <w:tcW w:type="dxa" w:w="2750"/>
            <w:vAlign w:val="center"/>
          </w:tcPr>
          <w:p>
            <w:pPr>
              <w:spacing w:after="40" w:before="40"/>
            </w:pPr>
            <w:r>
              <w:t>Booking success rate</w:t>
            </w:r>
          </w:p>
        </w:tc>
        <w:tc>
          <w:tcPr>
            <w:tcW w:type="dxa" w:w="2200"/>
            <w:vAlign w:val="center"/>
          </w:tcPr>
          <w:p>
            <w:pPr>
              <w:spacing w:after="40" w:before="40"/>
            </w:pPr>
            <w:r>
              <w:t>81.82% (9/11)</w:t>
            </w:r>
          </w:p>
        </w:tc>
        <w:tc>
          <w:tcPr>
            <w:tcW w:type="dxa" w:w="4410"/>
            <w:vAlign w:val="center"/>
          </w:tcPr>
          <w:p>
            <w:pPr>
              <w:spacing w:after="40" w:before="40"/>
            </w:pPr>
            <w:r>
              <w:t>Persisted successful booking executions divided by attempts</w:t>
            </w:r>
          </w:p>
        </w:tc>
      </w:tr>
      <w:tr>
        <w:trPr>
          <w:cantSplit/>
        </w:trPr>
        <w:tc>
          <w:tcPr>
            <w:tcW w:type="dxa" w:w="2750"/>
            <w:vAlign w:val="center"/>
          </w:tcPr>
          <w:p>
            <w:pPr>
              <w:spacing w:after="40" w:before="40"/>
            </w:pPr>
            <w:r>
              <w:t>Response precision</w:t>
            </w:r>
          </w:p>
        </w:tc>
        <w:tc>
          <w:tcPr>
            <w:tcW w:type="dxa" w:w="2200"/>
            <w:vAlign w:val="center"/>
          </w:tcPr>
          <w:p>
            <w:pPr>
              <w:spacing w:after="40" w:before="40"/>
            </w:pPr>
            <w:r>
              <w:t>98.86% (87/88)</w:t>
            </w:r>
          </w:p>
        </w:tc>
        <w:tc>
          <w:tcPr>
            <w:tcW w:type="dxa" w:w="4410"/>
            <w:vAlign w:val="center"/>
          </w:tcPr>
          <w:p>
            <w:pPr>
              <w:spacing w:after="40" w:before="40"/>
            </w:pPr>
            <w:r>
              <w:t>Supported claims divided by verifiable claims</w:t>
            </w:r>
          </w:p>
        </w:tc>
      </w:tr>
      <w:tr>
        <w:trPr>
          <w:cantSplit/>
        </w:trPr>
        <w:tc>
          <w:tcPr>
            <w:tcW w:type="dxa" w:w="2750"/>
            <w:vAlign w:val="center"/>
          </w:tcPr>
          <w:p>
            <w:pPr>
              <w:spacing w:after="40" w:before="40"/>
            </w:pPr>
            <w:r>
              <w:t>Demonstrated tool success</w:t>
            </w:r>
          </w:p>
        </w:tc>
        <w:tc>
          <w:tcPr>
            <w:tcW w:type="dxa" w:w="2200"/>
            <w:vAlign w:val="center"/>
          </w:tcPr>
          <w:p>
            <w:pPr>
              <w:spacing w:after="40" w:before="40"/>
            </w:pPr>
            <w:r>
              <w:t>100% (4/4)</w:t>
            </w:r>
          </w:p>
        </w:tc>
        <w:tc>
          <w:tcPr>
            <w:tcW w:type="dxa" w:w="4410"/>
            <w:vAlign w:val="center"/>
          </w:tcPr>
          <w:p>
            <w:pPr>
              <w:spacing w:after="40" w:before="40"/>
            </w:pPr>
            <w:r>
              <w:t>All attempted tools succeeded in the captured run</w:t>
            </w:r>
          </w:p>
        </w:tc>
      </w:tr>
      <w:tr>
        <w:trPr>
          <w:cantSplit/>
        </w:trPr>
        <w:tc>
          <w:tcPr>
            <w:tcW w:type="dxa" w:w="2750"/>
            <w:vAlign w:val="center"/>
          </w:tcPr>
          <w:p>
            <w:pPr>
              <w:spacing w:after="40" w:before="40"/>
            </w:pPr>
            <w:r>
              <w:t>Deterministic evaluation</w:t>
            </w:r>
          </w:p>
        </w:tc>
        <w:tc>
          <w:tcPr>
            <w:tcW w:type="dxa" w:w="2200"/>
            <w:vAlign w:val="center"/>
          </w:tcPr>
          <w:p>
            <w:pPr>
              <w:spacing w:after="40" w:before="40"/>
            </w:pPr>
            <w:r>
              <w:t>PASS</w:t>
            </w:r>
          </w:p>
        </w:tc>
        <w:tc>
          <w:tcPr>
            <w:tcW w:type="dxa" w:w="4410"/>
            <w:vAlign w:val="center"/>
          </w:tcPr>
          <w:p>
            <w:pPr>
              <w:spacing w:after="40" w:before="40"/>
            </w:pPr>
            <w:r>
              <w:t>Required structured and workflow conditions passed</w:t>
            </w:r>
          </w:p>
        </w:tc>
      </w:tr>
      <w:tr>
        <w:trPr>
          <w:cantSplit/>
        </w:trPr>
        <w:tc>
          <w:tcPr>
            <w:tcW w:type="dxa" w:w="2750"/>
            <w:vAlign w:val="center"/>
          </w:tcPr>
          <w:p>
            <w:pPr>
              <w:spacing w:after="40" w:before="40"/>
            </w:pPr>
            <w:r>
              <w:t>Semantic evaluation</w:t>
            </w:r>
          </w:p>
        </w:tc>
        <w:tc>
          <w:tcPr>
            <w:tcW w:type="dxa" w:w="2200"/>
            <w:vAlign w:val="center"/>
          </w:tcPr>
          <w:p>
            <w:pPr>
              <w:spacing w:after="40" w:before="40"/>
            </w:pPr>
            <w:r>
              <w:t>PASS</w:t>
            </w:r>
          </w:p>
        </w:tc>
        <w:tc>
          <w:tcPr>
            <w:tcW w:type="dxa" w:w="4410"/>
            <w:vAlign w:val="center"/>
          </w:tcPr>
          <w:p>
            <w:pPr>
              <w:spacing w:after="40" w:before="40"/>
            </w:pPr>
            <w:r>
              <w:t>Response passed semantic faithfulness criteria</w:t>
            </w:r>
          </w:p>
        </w:tc>
      </w:tr>
      <w:tr>
        <w:trPr>
          <w:cantSplit/>
        </w:trPr>
        <w:tc>
          <w:tcPr>
            <w:tcW w:type="dxa" w:w="2750"/>
            <w:vAlign w:val="center"/>
          </w:tcPr>
          <w:p>
            <w:pPr>
              <w:spacing w:after="40" w:before="40"/>
            </w:pPr>
            <w:r>
              <w:t>Accepted for memory</w:t>
            </w:r>
          </w:p>
        </w:tc>
        <w:tc>
          <w:tcPr>
            <w:tcW w:type="dxa" w:w="2200"/>
            <w:vAlign w:val="center"/>
          </w:tcPr>
          <w:p>
            <w:pPr>
              <w:spacing w:after="40" w:before="40"/>
            </w:pPr>
            <w:r>
              <w:t>YES</w:t>
            </w:r>
          </w:p>
        </w:tc>
        <w:tc>
          <w:tcPr>
            <w:tcW w:type="dxa" w:w="4410"/>
            <w:vAlign w:val="center"/>
          </w:tcPr>
          <w:p>
            <w:pPr>
              <w:spacing w:after="40" w:before="40"/>
            </w:pPr>
            <w:r>
              <w:t>Both evaluation gates permitted persistence</w:t>
            </w:r>
          </w:p>
        </w:tc>
      </w:tr>
    </w:tbl>
    <w:p>
      <w:r>
        <w:t>Skipped booking steps are excluded from the booking-attempt denominator. Authority, safety, and relevance flags are excluded from the response-claim precision calculation. These definitions are important because a metric is meaningful only when its denominator and exclusions are explicit.</w:t>
      </w:r>
    </w:p>
    <w:p>
      <w:r>
        <w:br w:type="page"/>
      </w:r>
    </w:p>
    <w:p>
      <w:pPr>
        <w:pStyle w:val="Heading1"/>
      </w:pPr>
      <w:r>
        <w:t>7. Responsible AI, Safety, and Security</w:t>
      </w:r>
    </w:p>
    <w:p>
      <w:r>
        <w:t>The prototype’s value depends on making its boundaries visible. Safety controls were implemented as workflow mechanisms and submission controls rather than relying solely on cautionary language.</w:t>
      </w:r>
    </w:p>
    <w:p>
      <w:pPr>
        <w:pStyle w:val="ListBullet"/>
        <w:spacing w:after="120"/>
        <w:ind w:left="720" w:hanging="360"/>
      </w:pPr>
      <w:r>
        <w:t>Patient-scoped memory: memory access is associated with an explicit patient identifier.</w:t>
      </w:r>
    </w:p>
    <w:p>
      <w:pPr>
        <w:pStyle w:val="ListBullet"/>
        <w:spacing w:after="120"/>
        <w:ind w:left="720" w:hanging="360"/>
      </w:pPr>
      <w:r>
        <w:t>Evaluation-gated persistence: deterministic and semantic acceptance are required before a response is stored.</w:t>
      </w:r>
    </w:p>
    <w:p>
      <w:pPr>
        <w:pStyle w:val="ListBullet"/>
        <w:spacing w:after="120"/>
        <w:ind w:left="720" w:hanging="360"/>
      </w:pPr>
      <w:r>
        <w:t>Auditable memory events: READ, WRITE, and SKIP outcomes include timestamps, validation basis, source, and reason without exposing request or response content.</w:t>
      </w:r>
    </w:p>
    <w:p>
      <w:pPr>
        <w:pStyle w:val="ListBullet"/>
        <w:spacing w:after="120"/>
        <w:ind w:left="720" w:hanging="360"/>
      </w:pPr>
      <w:r>
        <w:t>Explicit booking authorization: appointment actions require an affirmative user request.</w:t>
      </w:r>
    </w:p>
    <w:p>
      <w:pPr>
        <w:pStyle w:val="ListBullet"/>
        <w:spacing w:after="120"/>
        <w:ind w:left="720" w:hanging="360"/>
      </w:pPr>
      <w:r>
        <w:t>Provenance: retrieved sources retain source name, URL, and retrieval timestamp.</w:t>
      </w:r>
    </w:p>
    <w:p>
      <w:pPr>
        <w:pStyle w:val="ListBullet"/>
        <w:spacing w:after="120"/>
        <w:ind w:left="720" w:hanging="360"/>
      </w:pPr>
      <w:r>
        <w:t>Secret exclusion: .env files, API keys, credentials, and service-account files are excluded from the release package.</w:t>
      </w:r>
    </w:p>
    <w:p>
      <w:pPr>
        <w:pStyle w:val="ListBullet"/>
        <w:spacing w:after="120"/>
        <w:ind w:left="720" w:hanging="360"/>
      </w:pPr>
      <w:r>
        <w:t>.env.example contains a placeholder only and provides configuration guidance without disclosing a credential.</w:t>
      </w:r>
    </w:p>
    <w:p>
      <w:r>
        <w:t>The security controls also address risks specific to AI-assisted development. Perry et al. (2023) found that users of an AI coding assistant could produce less-secure solutions while expressing greater confidence in them. Accordingly, no recommendation was accepted solely because it appeared technically plausible. Proposed changes were bounded, reviewed, executed, and tested; the final package was separately inspected for .env files, API keys, credentials, secrets, and sensitive configuration material.</w:t>
      </w:r>
    </w:p>
    <w:tbl>
      <w:tblPr>
        <w:tblW w:type="auto" w:w="0"/>
        <w:jc w:val="center"/>
        <w:tblLayout w:type="fixed"/>
        <w:tblLook w:firstColumn="1" w:firstRow="1" w:lastColumn="0" w:lastRow="0" w:noHBand="0" w:noVBand="1" w:val="04A0"/>
      </w:tblPr>
      <w:tblGrid>
        <w:gridCol w:w="9648"/>
      </w:tblGrid>
      <w:tr>
        <w:trPr>
          <w:cantSplit/>
        </w:trPr>
        <w:tc>
          <w:tcPr>
            <w:tcW w:type="dxa" w:w="9360"/>
            <w:shd w:fill="FFF4DD"/>
            <w:vAlign w:val="center"/>
          </w:tcPr>
          <w:p>
            <w:pPr>
              <w:pStyle w:val="Callout"/>
            </w:pPr>
            <w:r>
              <w:rPr>
                <w:b/>
              </w:rPr>
              <w:t xml:space="preserve">Responsible-use statement: </w:t>
            </w:r>
            <w:r>
              <w:rPr>
                <w:b w:val="0"/>
              </w:rPr>
              <w:t>Synthetic demonstration data only. This application is an educational workflow prototype, not a clinical or diagnostic system. Human oversight remains necessary.</w:t>
            </w:r>
          </w:p>
        </w:tc>
      </w:tr>
    </w:tbl>
    <w:p>
      <w:pPr>
        <w:spacing w:after="0"/>
      </w:pPr>
    </w:p>
    <w:p>
      <w:r>
        <w:br w:type="page"/>
      </w:r>
    </w:p>
    <w:p>
      <w:pPr>
        <w:pStyle w:val="Heading1"/>
      </w:pPr>
      <w:r>
        <w:t>8. Results and Evidence</w:t>
      </w:r>
    </w:p>
    <w:p>
      <w:r>
        <w:t>The final application evidence demonstrates a coherent end-to-end workflow rather than isolated code fragments. The Patient View grounds the request and record; Doctor View explains specialty and appointment boundaries; Planning View exposes ordered steps; operational metrics show persisted outcomes; evaluation and memory views show acceptance controls; and retrieved-source views establish provenance.</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3300"/>
            <w:shd w:fill="F2F4F7"/>
            <w:vAlign w:val="center"/>
          </w:tcPr>
          <w:p>
            <w:pPr>
              <w:spacing w:after="40" w:before="40"/>
            </w:pPr>
            <w:r>
              <w:rPr>
                <w:b/>
                <w:color w:val="17324D"/>
              </w:rPr>
              <w:t>Evidence artifact</w:t>
            </w:r>
          </w:p>
        </w:tc>
        <w:tc>
          <w:tcPr>
            <w:tcW w:type="dxa" w:w="6060"/>
            <w:shd w:fill="F2F4F7"/>
            <w:vAlign w:val="center"/>
          </w:tcPr>
          <w:p>
            <w:pPr>
              <w:spacing w:after="40" w:before="40"/>
            </w:pPr>
            <w:r>
              <w:rPr>
                <w:b/>
                <w:color w:val="17324D"/>
              </w:rPr>
              <w:t>Purpose</w:t>
            </w:r>
          </w:p>
        </w:tc>
      </w:tr>
      <w:tr>
        <w:trPr>
          <w:cantSplit/>
        </w:trPr>
        <w:tc>
          <w:tcPr>
            <w:tcW w:type="dxa" w:w="3300"/>
            <w:vAlign w:val="center"/>
          </w:tcPr>
          <w:p>
            <w:pPr>
              <w:spacing w:after="40" w:before="40"/>
            </w:pPr>
            <w:r>
              <w:t>Final evidence deck (PPTX/PDF)</w:t>
            </w:r>
          </w:p>
        </w:tc>
        <w:tc>
          <w:tcPr>
            <w:tcW w:type="dxa" w:w="6060"/>
            <w:vAlign w:val="center"/>
          </w:tcPr>
          <w:p>
            <w:pPr>
              <w:spacing w:after="40" w:before="40"/>
            </w:pPr>
            <w:r>
              <w:t>Reviewer-facing visual narrative and application captures</w:t>
            </w:r>
          </w:p>
        </w:tc>
      </w:tr>
      <w:tr>
        <w:trPr>
          <w:cantSplit/>
        </w:trPr>
        <w:tc>
          <w:tcPr>
            <w:tcW w:type="dxa" w:w="3300"/>
            <w:vAlign w:val="center"/>
          </w:tcPr>
          <w:p>
            <w:pPr>
              <w:spacing w:after="40" w:before="40"/>
            </w:pPr>
            <w:r>
              <w:t>Definitive compliance register</w:t>
            </w:r>
          </w:p>
        </w:tc>
        <w:tc>
          <w:tcPr>
            <w:tcW w:type="dxa" w:w="6060"/>
            <w:vAlign w:val="center"/>
          </w:tcPr>
          <w:p>
            <w:pPr>
              <w:spacing w:after="40" w:before="40"/>
            </w:pPr>
            <w:r>
              <w:t>Authoritative record of requirement status and evidence</w:t>
            </w:r>
          </w:p>
        </w:tc>
      </w:tr>
      <w:tr>
        <w:trPr>
          <w:cantSplit/>
        </w:trPr>
        <w:tc>
          <w:tcPr>
            <w:tcW w:type="dxa" w:w="3300"/>
            <w:vAlign w:val="center"/>
          </w:tcPr>
          <w:p>
            <w:pPr>
              <w:spacing w:after="40" w:before="40"/>
            </w:pPr>
            <w:r>
              <w:t>Verification summary</w:t>
            </w:r>
          </w:p>
        </w:tc>
        <w:tc>
          <w:tcPr>
            <w:tcW w:type="dxa" w:w="6060"/>
            <w:vAlign w:val="center"/>
          </w:tcPr>
          <w:p>
            <w:pPr>
              <w:spacing w:after="40" w:before="40"/>
            </w:pPr>
            <w:r>
              <w:t>Concise record of compilation, regression, and security checks</w:t>
            </w:r>
          </w:p>
        </w:tc>
      </w:tr>
      <w:tr>
        <w:trPr>
          <w:cantSplit/>
        </w:trPr>
        <w:tc>
          <w:tcPr>
            <w:tcW w:type="dxa" w:w="3300"/>
            <w:vAlign w:val="center"/>
          </w:tcPr>
          <w:p>
            <w:pPr>
              <w:spacing w:after="40" w:before="40"/>
            </w:pPr>
            <w:r>
              <w:t>REQ-014 task contracts</w:t>
            </w:r>
          </w:p>
        </w:tc>
        <w:tc>
          <w:tcPr>
            <w:tcW w:type="dxa" w:w="6060"/>
            <w:vAlign w:val="center"/>
          </w:tcPr>
          <w:p>
            <w:pPr>
              <w:spacing w:after="40" w:before="40"/>
            </w:pPr>
            <w:r>
              <w:t>Structured input/output, validation, failure, and provenance contracts</w:t>
            </w:r>
          </w:p>
        </w:tc>
      </w:tr>
      <w:tr>
        <w:trPr>
          <w:cantSplit/>
        </w:trPr>
        <w:tc>
          <w:tcPr>
            <w:tcW w:type="dxa" w:w="3300"/>
            <w:vAlign w:val="center"/>
          </w:tcPr>
          <w:p>
            <w:pPr>
              <w:spacing w:after="40" w:before="40"/>
            </w:pPr>
            <w:r>
              <w:t>Application and tests</w:t>
            </w:r>
          </w:p>
        </w:tc>
        <w:tc>
          <w:tcPr>
            <w:tcW w:type="dxa" w:w="6060"/>
            <w:vAlign w:val="center"/>
          </w:tcPr>
          <w:p>
            <w:pPr>
              <w:spacing w:after="40" w:before="40"/>
            </w:pPr>
            <w:r>
              <w:t>Executable implementation and regression evidence</w:t>
            </w:r>
          </w:p>
        </w:tc>
      </w:tr>
    </w:tbl>
    <w:p>
      <w:pPr>
        <w:pStyle w:val="Heading1"/>
      </w:pPr>
      <w:r>
        <w:t>9. Limitations and Tradeoffs</w:t>
      </w:r>
    </w:p>
    <w:p>
      <w:r>
        <w:t>The project demonstrates architecture and controls within a bounded prototype. It does not establish production clinical safety, regulatory compliance, real-world interoperability, or operational readiness at healthcare scale.</w:t>
      </w:r>
    </w:p>
    <w:p>
      <w:pPr>
        <w:pStyle w:val="ListBullet"/>
        <w:spacing w:after="120"/>
        <w:ind w:left="720" w:hanging="360"/>
      </w:pPr>
      <w:r>
        <w:t>The patient, medical-record, doctor, and appointment data are synthetic.</w:t>
      </w:r>
    </w:p>
    <w:p>
      <w:pPr>
        <w:pStyle w:val="ListBullet"/>
        <w:spacing w:after="120"/>
        <w:ind w:left="720" w:hanging="360"/>
      </w:pPr>
      <w:r>
        <w:t>Some tools and integrations use deterministic demonstration behavior rather than live production services.</w:t>
      </w:r>
    </w:p>
    <w:p>
      <w:pPr>
        <w:pStyle w:val="ListBullet"/>
        <w:spacing w:after="120"/>
        <w:ind w:left="720" w:hanging="360"/>
      </w:pPr>
      <w:r>
        <w:t>The evaluation results apply to the tested scenarios and persisted evidence set; they are not universal performance guarantees.</w:t>
      </w:r>
    </w:p>
    <w:p>
      <w:pPr>
        <w:pStyle w:val="ListBullet"/>
        <w:spacing w:after="120"/>
        <w:ind w:left="720" w:hanging="360"/>
      </w:pPr>
      <w:r>
        <w:t>External educational content depends on source availability and must remain attributable and reviewable.</w:t>
      </w:r>
    </w:p>
    <w:p>
      <w:pPr>
        <w:pStyle w:val="ListBullet"/>
        <w:spacing w:after="120"/>
        <w:ind w:left="720" w:hanging="360"/>
      </w:pPr>
      <w:r>
        <w:t>Authentication, authorization, encryption, monitoring, and incident-response controls would require production-grade implementation.</w:t>
      </w:r>
    </w:p>
    <w:p>
      <w:pPr>
        <w:pStyle w:val="ListBullet"/>
        <w:spacing w:after="120"/>
        <w:ind w:left="720" w:hanging="360"/>
      </w:pPr>
      <w:r>
        <w:t>Docker was intentionally deferred because it was optional and would add packaging risk without changing core requirement satisfaction.</w:t>
      </w:r>
    </w:p>
    <w:p>
      <w:r>
        <w:t>The primary tradeoff favored traceability and bounded behavior over breadth. This was appropriate for the capstone because it made the implementation defensible and verifiable while preserving a clear path to future deployment work.</w:t>
      </w:r>
    </w:p>
    <w:p>
      <w:r>
        <w:br w:type="page"/>
      </w:r>
    </w:p>
    <w:p>
      <w:pPr>
        <w:pStyle w:val="Heading1"/>
      </w:pPr>
      <w:r>
        <w:t>10. Lessons Learned and Professional Transfer</w:t>
      </w:r>
    </w:p>
    <w:p>
      <w:r>
        <w:t>The project produced several transferable engineering and AI-enablement lessons.</w:t>
      </w:r>
    </w:p>
    <w:p>
      <w:r>
        <w:t>A central lesson is that effective AI augmentation shifts rather than eliminates human engineering responsibility. AI reduced the effort required to generate alternatives and diagnose some problems, but it increased the importance of requirements discipline, verification, security review, and evidence management. The transferable capability demonstrated here is not simply generating code with AI; it is governing an AI-augmented delivery process and converting provisional model output into tested, traceable, and defensible engineering work.</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3050"/>
            <w:shd w:fill="F2F4F7"/>
            <w:vAlign w:val="center"/>
          </w:tcPr>
          <w:p>
            <w:pPr>
              <w:spacing w:after="40" w:before="40"/>
            </w:pPr>
            <w:r>
              <w:rPr>
                <w:b/>
                <w:color w:val="17324D"/>
              </w:rPr>
              <w:t>Lesson</w:t>
            </w:r>
          </w:p>
        </w:tc>
        <w:tc>
          <w:tcPr>
            <w:tcW w:type="dxa" w:w="6310"/>
            <w:shd w:fill="F2F4F7"/>
            <w:vAlign w:val="center"/>
          </w:tcPr>
          <w:p>
            <w:pPr>
              <w:spacing w:after="40" w:before="40"/>
            </w:pPr>
            <w:r>
              <w:rPr>
                <w:b/>
                <w:color w:val="17324D"/>
              </w:rPr>
              <w:t>Professional implication</w:t>
            </w:r>
          </w:p>
        </w:tc>
      </w:tr>
      <w:tr>
        <w:trPr>
          <w:cantSplit/>
        </w:trPr>
        <w:tc>
          <w:tcPr>
            <w:tcW w:type="dxa" w:w="3050"/>
            <w:vAlign w:val="center"/>
          </w:tcPr>
          <w:p>
            <w:pPr>
              <w:spacing w:after="40" w:before="40"/>
            </w:pPr>
            <w:r>
              <w:t>Reliability is architectural</w:t>
            </w:r>
          </w:p>
        </w:tc>
        <w:tc>
          <w:tcPr>
            <w:tcW w:type="dxa" w:w="6310"/>
            <w:vAlign w:val="center"/>
          </w:tcPr>
          <w:p>
            <w:pPr>
              <w:spacing w:after="40" w:before="40"/>
            </w:pPr>
            <w:r>
              <w:t>Controls must be distributed across contracts, routing, tools, evaluation, and persistence.</w:t>
            </w:r>
          </w:p>
        </w:tc>
      </w:tr>
      <w:tr>
        <w:trPr>
          <w:cantSplit/>
        </w:trPr>
        <w:tc>
          <w:tcPr>
            <w:tcW w:type="dxa" w:w="3050"/>
            <w:vAlign w:val="center"/>
          </w:tcPr>
          <w:p>
            <w:pPr>
              <w:spacing w:after="40" w:before="40"/>
            </w:pPr>
            <w:r>
              <w:t>Structured contracts reduce ambiguity</w:t>
            </w:r>
          </w:p>
        </w:tc>
        <w:tc>
          <w:tcPr>
            <w:tcW w:type="dxa" w:w="6310"/>
            <w:vAlign w:val="center"/>
          </w:tcPr>
          <w:p>
            <w:pPr>
              <w:spacing w:after="40" w:before="40"/>
            </w:pPr>
            <w:r>
              <w:t>Defined inputs and outputs make integration failures easier to localize.</w:t>
            </w:r>
          </w:p>
        </w:tc>
      </w:tr>
      <w:tr>
        <w:trPr>
          <w:cantSplit/>
        </w:trPr>
        <w:tc>
          <w:tcPr>
            <w:tcW w:type="dxa" w:w="3050"/>
            <w:vAlign w:val="center"/>
          </w:tcPr>
          <w:p>
            <w:pPr>
              <w:spacing w:after="40" w:before="40"/>
            </w:pPr>
            <w:r>
              <w:t>Planning is not authorization</w:t>
            </w:r>
          </w:p>
        </w:tc>
        <w:tc>
          <w:tcPr>
            <w:tcW w:type="dxa" w:w="6310"/>
            <w:vAlign w:val="center"/>
          </w:tcPr>
          <w:p>
            <w:pPr>
              <w:spacing w:after="40" w:before="40"/>
            </w:pPr>
            <w:r>
              <w:t>A useful plan can remain descriptive until policy and state permit action.</w:t>
            </w:r>
          </w:p>
        </w:tc>
      </w:tr>
      <w:tr>
        <w:trPr>
          <w:cantSplit/>
        </w:trPr>
        <w:tc>
          <w:tcPr>
            <w:tcW w:type="dxa" w:w="3050"/>
            <w:vAlign w:val="center"/>
          </w:tcPr>
          <w:p>
            <w:pPr>
              <w:spacing w:after="40" w:before="40"/>
            </w:pPr>
            <w:r>
              <w:t>Evaluation belongs in the workflow</w:t>
            </w:r>
          </w:p>
        </w:tc>
        <w:tc>
          <w:tcPr>
            <w:tcW w:type="dxa" w:w="6310"/>
            <w:vAlign w:val="center"/>
          </w:tcPr>
          <w:p>
            <w:pPr>
              <w:spacing w:after="40" w:before="40"/>
            </w:pPr>
            <w:r>
              <w:t>Quality gates should affect state transitions, not merely generate a score.</w:t>
            </w:r>
          </w:p>
        </w:tc>
      </w:tr>
      <w:tr>
        <w:trPr>
          <w:cantSplit/>
        </w:trPr>
        <w:tc>
          <w:tcPr>
            <w:tcW w:type="dxa" w:w="3050"/>
            <w:vAlign w:val="center"/>
          </w:tcPr>
          <w:p>
            <w:pPr>
              <w:spacing w:after="40" w:before="40"/>
            </w:pPr>
            <w:r>
              <w:t>Memory requires governance</w:t>
            </w:r>
          </w:p>
        </w:tc>
        <w:tc>
          <w:tcPr>
            <w:tcW w:type="dxa" w:w="6310"/>
            <w:vAlign w:val="center"/>
          </w:tcPr>
          <w:p>
            <w:pPr>
              <w:spacing w:after="40" w:before="40"/>
            </w:pPr>
            <w:r>
              <w:t>Durability adds risk unless scope, acceptance, provenance, and auditability are explicit.</w:t>
            </w:r>
          </w:p>
        </w:tc>
      </w:tr>
      <w:tr>
        <w:trPr>
          <w:cantSplit/>
        </w:trPr>
        <w:tc>
          <w:tcPr>
            <w:tcW w:type="dxa" w:w="3050"/>
            <w:vAlign w:val="center"/>
          </w:tcPr>
          <w:p>
            <w:pPr>
              <w:spacing w:after="40" w:before="40"/>
            </w:pPr>
            <w:r>
              <w:t>Evidence is part of implementation</w:t>
            </w:r>
          </w:p>
        </w:tc>
        <w:tc>
          <w:tcPr>
            <w:tcW w:type="dxa" w:w="6310"/>
            <w:vAlign w:val="center"/>
          </w:tcPr>
          <w:p>
            <w:pPr>
              <w:spacing w:after="40" w:before="40"/>
            </w:pPr>
            <w:r>
              <w:t>A reviewer must be able to trace claims to observable system behavior.</w:t>
            </w:r>
          </w:p>
        </w:tc>
      </w:tr>
      <w:tr>
        <w:trPr>
          <w:cantSplit/>
        </w:trPr>
        <w:tc>
          <w:tcPr>
            <w:tcW w:type="dxa" w:w="3050"/>
            <w:vAlign w:val="center"/>
          </w:tcPr>
          <w:p>
            <w:pPr>
              <w:spacing w:after="40" w:before="40"/>
            </w:pPr>
            <w:r>
              <w:t>Small compliant changes protect delivery</w:t>
            </w:r>
          </w:p>
        </w:tc>
        <w:tc>
          <w:tcPr>
            <w:tcW w:type="dxa" w:w="6310"/>
            <w:vAlign w:val="center"/>
          </w:tcPr>
          <w:p>
            <w:pPr>
              <w:spacing w:after="40" w:before="40"/>
            </w:pPr>
            <w:r>
              <w:t>Bounded corrections preserve validated architecture and reduce regression risk.</w:t>
            </w:r>
          </w:p>
        </w:tc>
      </w:tr>
    </w:tbl>
    <w:p>
      <w:r>
        <w:t>From an AI Enablement perspective, the work demonstrates how to translate broad requirements into operational controls, evidence, and user-facing explanations. From a Forward-Deployed Engineering perspective, it demonstrates requirement discovery, bounded implementation, field verification, troubleshooting, and packaging for stakeholder review. From an Instructional Systems Design perspective, the evidence views make invisible system decisions observable and teachable.</w:t>
      </w:r>
    </w:p>
    <w:p>
      <w:r>
        <w:br w:type="page"/>
      </w:r>
    </w:p>
    <w:p>
      <w:pPr>
        <w:pStyle w:val="Heading1"/>
      </w:pPr>
      <w:r>
        <w:t>11. AI Enablement and Forward-Deployed Engineering Perspective</w:t>
      </w:r>
    </w:p>
    <w:p>
      <w:r>
        <w:t>This capstone demonstrates a delivery capability beyond application coding: an operating model connecting stakeholder intent, implementation, human authorization, verification, and evidence. That connection is central to both AI enablement and forward-deployed engineering.</w:t>
      </w:r>
    </w:p>
    <w:p>
      <w:pPr>
        <w:pStyle w:val="Heading2"/>
      </w:pPr>
      <w:r>
        <w:t>AI Enablement as a Governed Operating Method</w:t>
      </w:r>
    </w:p>
    <w:p>
      <w:r>
        <w:t>The stronger organizational capability is not access to models alone, but the ability to convert model assistance into dependable work. Here, generative AI accelerated requirements analysis, option generation, debugging, test design, documentation, and presentation development. It did not replace the author's responsibility for scope, execution, inspection, credential protection, or final acceptance.</w:t>
      </w:r>
    </w:p>
    <w:p>
      <w:r>
        <w:t>AI output remained provisional until it passed a controlled acceptance sequence. Structured contracts limited ambiguity; bounded changes reduced regression exposure; compilation and tests challenged implementation claims; live behavior supplied evidence; and the compliance register preserved traceability. This pattern can be taught and scaled by pairing AI access with clear decision rights, verification standards, security controls, and evidence expectations.</w:t>
      </w:r>
    </w:p>
    <w:tbl>
      <w:tblPr>
        <w:tblW w:type="auto" w:w="0"/>
        <w:jc w:val="center"/>
        <w:tblLayout w:type="fixed"/>
        <w:tblLook w:firstColumn="1" w:firstRow="1" w:lastColumn="0" w:lastRow="0" w:noHBand="0" w:noVBand="1" w:val="04A0"/>
      </w:tblPr>
      <w:tblGrid>
        <w:gridCol w:w="9648"/>
      </w:tblGrid>
      <w:tr>
        <w:trPr>
          <w:cantSplit/>
        </w:trPr>
        <w:tc>
          <w:tcPr>
            <w:tcW w:type="dxa" w:w="9360"/>
            <w:shd w:fill="E8F7EF"/>
            <w:vAlign w:val="center"/>
          </w:tcPr>
          <w:p>
            <w:pPr>
              <w:pStyle w:val="Callout"/>
            </w:pPr>
            <w:r>
              <w:rPr>
                <w:b/>
              </w:rPr>
              <w:t xml:space="preserve">AI enablement insight: </w:t>
            </w:r>
            <w:r>
              <w:rPr>
                <w:b w:val="0"/>
              </w:rPr>
              <w:t>The durable capability is not prompt use alone; it is a governed system for turning provisional AI assistance into reviewed, tested, traceable, and accountable delivery.</w:t>
            </w:r>
          </w:p>
        </w:tc>
      </w:tr>
    </w:tbl>
    <w:p>
      <w:pPr>
        <w:spacing w:after="0"/>
      </w:pPr>
    </w:p>
    <w:p>
      <w:pPr>
        <w:pStyle w:val="Heading2"/>
      </w:pPr>
      <w:r>
        <w:t>Forward-Deployed Engineering in Practice</w:t>
      </w:r>
    </w:p>
    <w:p>
      <w:r>
        <w:t>The project also reflects an FDE-style model: begin with a concrete stakeholder objective and an existing environment, reconcile requirements with the implementation, identify gaps through code inspection and observed behavior, and make the smallest compliant correction. Each increment was tested where the application actually operated. The recurring loop was requirement interpretation, current-state inspection, bounded proposal, human approval, execution, observation, regression testing, and evidence update.</w:t>
      </w:r>
    </w:p>
    <w:p>
      <w:pPr>
        <w:pStyle w:val="ListBullet"/>
        <w:spacing w:after="120"/>
        <w:ind w:left="720" w:hanging="360"/>
      </w:pPr>
      <w:r>
        <w:t>Stakeholder translation: converted broad objectives into explicit contracts, gates, and reviewer-facing outcomes.</w:t>
      </w:r>
    </w:p>
    <w:p>
      <w:pPr>
        <w:pStyle w:val="ListBullet"/>
        <w:spacing w:after="120"/>
        <w:ind w:left="720" w:hanging="360"/>
      </w:pPr>
      <w:r>
        <w:t>Field delivery: diagnosed live behavior, applied bounded changes, and verified them through compilation, tests, runs, and persisted metrics.</w:t>
      </w:r>
    </w:p>
    <w:p>
      <w:pPr>
        <w:pStyle w:val="ListBullet"/>
        <w:spacing w:after="120"/>
        <w:ind w:left="720" w:hanging="360"/>
      </w:pPr>
      <w:r>
        <w:t>Adoption support: converted technical behavior into a compliance register, evidence deck, report, and understandable application views.</w:t>
      </w:r>
    </w:p>
    <w:p>
      <w:pPr>
        <w:pStyle w:val="Heading2"/>
      </w:pPr>
      <w:r>
        <w:t>Combined Professional Value</w:t>
      </w:r>
    </w:p>
    <w:p>
      <w:r>
        <w:t>Together, the perspectives demonstrate AI-assisted delivery from ambiguous need to defensible outcome. AI enablement supplied governance for responsible augmentation; FDE supplied the field discipline for reconciling that governance with a working system and stakeholder evidence. The repeatable pattern is: translate, bound, implement, verify, explain, and retain human accountability. This remains an educational demonstration, not evidence of production clinical readiness, regulatory certification, or enterprise deployment maturity.</w:t>
      </w:r>
    </w:p>
    <w:p>
      <w:r>
        <w:br w:type="page"/>
      </w:r>
    </w:p>
    <w:p>
      <w:pPr>
        <w:pStyle w:val="Heading1"/>
      </w:pPr>
      <w:r>
        <w:t>12. Conclusion and Future Work</w:t>
      </w:r>
    </w:p>
    <w:p>
      <w:r>
        <w:t>The Agentic Healthcare Assistant capstone demonstrates that a small agentic application can be designed around explicit contracts, conditional actions, inspectable evidence, evaluation gates, and governed memory. The completed package satisfies all 40 tracked requirements and passes the 125-test regression suite while preserving a clear safety boundary.</w:t>
      </w:r>
    </w:p>
    <w:p>
      <w:r>
        <w:t>Future work should be treated as a separate post-submission phase. Appropriate extensions include containerization, stronger identity and access management, production observability, real service adapters, broader adversarial and edge-case evaluation, and formal healthcare privacy and security review. These additions should build on the frozen verified baseline rather than alter the submitted evidence state.</w:t>
      </w:r>
    </w:p>
    <w:tbl>
      <w:tblPr>
        <w:tblW w:type="auto" w:w="0"/>
        <w:jc w:val="center"/>
        <w:tblLayout w:type="fixed"/>
        <w:tblLook w:firstColumn="1" w:firstRow="1" w:lastColumn="0" w:lastRow="0" w:noHBand="0" w:noVBand="1" w:val="04A0"/>
      </w:tblPr>
      <w:tblGrid>
        <w:gridCol w:w="9648"/>
      </w:tblGrid>
      <w:tr>
        <w:trPr>
          <w:cantSplit/>
        </w:trPr>
        <w:tc>
          <w:tcPr>
            <w:tcW w:type="dxa" w:w="9360"/>
            <w:shd w:fill="E8F7EF"/>
            <w:vAlign w:val="center"/>
          </w:tcPr>
          <w:p>
            <w:pPr>
              <w:pStyle w:val="Callout"/>
            </w:pPr>
            <w:r>
              <w:rPr>
                <w:b/>
              </w:rPr>
              <w:t xml:space="preserve">Final conclusion: </w:t>
            </w:r>
            <w:r>
              <w:rPr>
                <w:b w:val="0"/>
              </w:rPr>
              <w:t>The capstone succeeds as an evidence-led workflow-automation prototype. Its strongest contribution is not autonomous medical decision-making, but disciplined separation of planning, execution, evaluation, provenance, memory, and human accountability.</w:t>
            </w:r>
          </w:p>
        </w:tc>
      </w:tr>
    </w:tbl>
    <w:p>
      <w:pPr>
        <w:spacing w:after="0"/>
      </w:pPr>
    </w:p>
    <w:p>
      <w:r>
        <w:br w:type="page"/>
      </w:r>
    </w:p>
    <w:p>
      <w:pPr>
        <w:pStyle w:val="Heading1"/>
      </w:pPr>
      <w:r>
        <w:t>References</w:t>
      </w:r>
    </w:p>
    <w:p>
      <w:pPr>
        <w:spacing w:after="80" w:line="240" w:lineRule="auto"/>
        <w:ind w:left="432" w:hanging="432"/>
      </w:pPr>
      <w:r>
        <w:rPr>
          <w:sz w:val="18"/>
        </w:rPr>
        <w:t>Barke, S., James, M. B., &amp; Polikarpova, N. (2023). Grounded Copilot: How programmers interact with code-generating models. Proceedings of the ACM on Programming Languages, 7(OOPSLA1), Article 78. https://doi.org/10.1145/3586030</w:t>
      </w:r>
    </w:p>
    <w:p>
      <w:pPr>
        <w:spacing w:after="80" w:line="240" w:lineRule="auto"/>
        <w:ind w:left="432" w:hanging="432"/>
      </w:pPr>
      <w:r>
        <w:rPr>
          <w:sz w:val="18"/>
        </w:rPr>
        <w:t>Es, S., James, J., Espinosa Anke, L., &amp; Schockaert, S. (2024). RAGAs: Automated evaluation of retrieval augmented generation. Proceedings of the 18th Conference of the European Chapter of the Association for Computational Linguistics: System Demonstrations, 150-158. https://aclanthology.org/2024.eacl-demo.16/</w:t>
      </w:r>
    </w:p>
    <w:p>
      <w:pPr>
        <w:spacing w:after="80" w:line="240" w:lineRule="auto"/>
        <w:ind w:left="432" w:hanging="432"/>
      </w:pPr>
      <w:r>
        <w:rPr>
          <w:sz w:val="18"/>
        </w:rPr>
        <w:t>Lekadir, K., Frangi, A. F., Porras, A. R., et al. (2025). FUTURE-AI: International consensus guideline for trustworthy and deployable artificial intelligence in healthcare. BMJ, 388, e081554. https://doi.org/10.1136/bmj-2024-081554</w:t>
      </w:r>
    </w:p>
    <w:p>
      <w:pPr>
        <w:spacing w:after="80" w:line="240" w:lineRule="auto"/>
        <w:ind w:left="432" w:hanging="432"/>
      </w:pPr>
      <w:r>
        <w:rPr>
          <w:sz w:val="18"/>
        </w:rPr>
        <w:t>Mozannar, H., Bansal, G., Fourney, A., &amp; Horvitz, E. (2024). Reading between the lines: Modeling user behavior and costs in AI-assisted programming. Proceedings of the 2024 CHI Conference on Human Factors in Computing Systems, Article 142, 1-16. https://doi.org/10.1145/3613904.3641936</w:t>
      </w:r>
    </w:p>
    <w:p>
      <w:pPr>
        <w:spacing w:after="80" w:line="240" w:lineRule="auto"/>
        <w:ind w:left="432" w:hanging="432"/>
      </w:pPr>
      <w:r>
        <w:rPr>
          <w:sz w:val="18"/>
        </w:rPr>
        <w:t>National Institute of Standards and Technology. (2023). Artificial Intelligence Risk Management Framework (AI RMF 1.0) (NIST AI 100-1). https://doi.org/10.6028/NIST.AI.100-1</w:t>
      </w:r>
    </w:p>
    <w:p>
      <w:pPr>
        <w:spacing w:after="80" w:line="240" w:lineRule="auto"/>
        <w:ind w:left="432" w:hanging="432"/>
      </w:pPr>
      <w:r>
        <w:rPr>
          <w:sz w:val="18"/>
        </w:rPr>
        <w:t>Park, J. S., O'Brien, J., Cai, C. J., Morris, M. R., Liang, P., &amp; Bernstein, M. S. (2023). Generative agents: Interactive simulacra of human behavior. Proceedings of the 36th Annual ACM Symposium on User Interface Software and Technology, Article 2, 1-22. https://doi.org/10.1145/3586183.3606763</w:t>
      </w:r>
    </w:p>
    <w:p>
      <w:pPr>
        <w:spacing w:after="80" w:line="240" w:lineRule="auto"/>
        <w:ind w:left="432" w:hanging="432"/>
      </w:pPr>
      <w:r>
        <w:rPr>
          <w:sz w:val="18"/>
        </w:rPr>
        <w:t>Perry, N., Srivastava, M., Kumar, D., &amp; Boneh, D. (2023). Do users write more insecure code with AI assistants? Proceedings of the 2023 ACM SIGSAC Conference on Computer and Communications Security, 2785-2800. https://doi.org/10.1145/3576915.3623157</w:t>
      </w:r>
    </w:p>
    <w:p>
      <w:pPr>
        <w:spacing w:after="80" w:line="240" w:lineRule="auto"/>
        <w:ind w:left="432" w:hanging="432"/>
      </w:pPr>
      <w:r>
        <w:rPr>
          <w:sz w:val="18"/>
        </w:rPr>
        <w:t>Saad-Falcon, J., Khattab, O., Potts, C., &amp; Zaharia, M. (2024). ARES: An automated evaluation framework for retrieval-augmented generation systems. Proceedings of the 2024 Conference of the North American Chapter of the Association for Computational Linguistics: Human Language Technologies. https://aclanthology.org/2024.naacl-long.20/</w:t>
      </w:r>
    </w:p>
    <w:p>
      <w:pPr>
        <w:spacing w:after="80" w:line="240" w:lineRule="auto"/>
        <w:ind w:left="432" w:hanging="432"/>
      </w:pPr>
      <w:r>
        <w:rPr>
          <w:sz w:val="18"/>
        </w:rPr>
        <w:t>Souppaya, M., Scarfone, K., &amp; Dodson, D. (2022). Secure Software Development Framework (SSDF) Version 1.1 (NIST SP 800-218). https://doi.org/10.6028/NIST.SP.800-218</w:t>
      </w:r>
    </w:p>
    <w:p>
      <w:pPr>
        <w:spacing w:after="80" w:line="240" w:lineRule="auto"/>
        <w:ind w:left="432" w:hanging="432"/>
      </w:pPr>
      <w:r>
        <w:rPr>
          <w:sz w:val="18"/>
        </w:rPr>
        <w:t>World Health Organization. (2021). Ethics and governance of artificial intelligence for health: WHO guidance. https://www.who.int/publications/i/item/9789240029200</w:t>
      </w:r>
    </w:p>
    <w:p>
      <w:pPr>
        <w:spacing w:after="80" w:line="240" w:lineRule="auto"/>
        <w:ind w:left="432" w:hanging="432"/>
      </w:pPr>
      <w:r>
        <w:rPr>
          <w:sz w:val="18"/>
        </w:rPr>
        <w:t>Yao, S., Zhao, J., Yu, D., Du, N., Shafran, I., Narasimhan, K., &amp; Cao, Y. (2023). ReAct: Synergizing reasoning and acting in language models. International Conference on Learning Representations. https://openreview.net/forum?id=WE_vluYUL-X</w:t>
      </w:r>
    </w:p>
    <w:p>
      <w:r>
        <w:br w:type="page"/>
      </w:r>
    </w:p>
    <w:p>
      <w:pPr>
        <w:pStyle w:val="Heading1"/>
      </w:pPr>
      <w:r>
        <w:t>Appendix A. Requirements and Evidence Summary</w:t>
      </w:r>
    </w:p>
    <w:p>
      <w:r>
        <w:t>The definitive compliance register remains the authoritative requirement-level record. This appendix provides a compact navigation layer connecting capability groups to implementation and visible evidence.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cantSplit/>
        </w:trPr>
        <w:tc>
          <w:tcPr>
            <w:tcW w:type="dxa" w:w="2200"/>
            <w:shd w:fill="F2F4F7"/>
            <w:vAlign w:val="center"/>
          </w:tcPr>
          <w:p>
            <w:pPr>
              <w:spacing w:after="40" w:before="40"/>
            </w:pPr>
            <w:r>
              <w:rPr>
                <w:b/>
                <w:color w:val="17324D"/>
              </w:rPr>
              <w:t>Capability group</w:t>
            </w:r>
          </w:p>
        </w:tc>
        <w:tc>
          <w:tcPr>
            <w:tcW w:type="dxa" w:w="3500"/>
            <w:shd w:fill="F2F4F7"/>
            <w:vAlign w:val="center"/>
          </w:tcPr>
          <w:p>
            <w:pPr>
              <w:spacing w:after="40" w:before="40"/>
            </w:pPr>
            <w:r>
              <w:rPr>
                <w:b/>
                <w:color w:val="17324D"/>
              </w:rPr>
              <w:t>Implemented control</w:t>
            </w:r>
          </w:p>
        </w:tc>
        <w:tc>
          <w:tcPr>
            <w:tcW w:type="dxa" w:w="3660"/>
            <w:shd w:fill="F2F4F7"/>
            <w:vAlign w:val="center"/>
          </w:tcPr>
          <w:p>
            <w:pPr>
              <w:spacing w:after="40" w:before="40"/>
            </w:pPr>
            <w:r>
              <w:rPr>
                <w:b/>
                <w:color w:val="17324D"/>
              </w:rPr>
              <w:t>Reviewer evidence</w:t>
            </w:r>
          </w:p>
        </w:tc>
      </w:tr>
      <w:tr>
        <w:trPr>
          <w:cantSplit/>
        </w:trPr>
        <w:tc>
          <w:tcPr>
            <w:tcW w:type="dxa" w:w="2200"/>
            <w:vAlign w:val="center"/>
          </w:tcPr>
          <w:p>
            <w:pPr>
              <w:spacing w:after="40" w:before="40"/>
            </w:pPr>
            <w:r>
              <w:t>Request interpretation</w:t>
            </w:r>
          </w:p>
        </w:tc>
        <w:tc>
          <w:tcPr>
            <w:tcW w:type="dxa" w:w="3500"/>
            <w:vAlign w:val="center"/>
          </w:tcPr>
          <w:p>
            <w:pPr>
              <w:spacing w:after="40" w:before="40"/>
            </w:pPr>
            <w:r>
              <w:t>Structured RequestIntent with explicit booking intent and plan steps</w:t>
            </w:r>
          </w:p>
        </w:tc>
        <w:tc>
          <w:tcPr>
            <w:tcW w:type="dxa" w:w="3660"/>
            <w:vAlign w:val="center"/>
          </w:tcPr>
          <w:p>
            <w:pPr>
              <w:spacing w:after="40" w:before="40"/>
            </w:pPr>
            <w:r>
              <w:t>Planning View and structured output</w:t>
            </w:r>
          </w:p>
        </w:tc>
      </w:tr>
      <w:tr>
        <w:trPr>
          <w:cantSplit/>
        </w:trPr>
        <w:tc>
          <w:tcPr>
            <w:tcW w:type="dxa" w:w="2200"/>
            <w:vAlign w:val="center"/>
          </w:tcPr>
          <w:p>
            <w:pPr>
              <w:spacing w:after="40" w:before="40"/>
            </w:pPr>
            <w:r>
              <w:t>Retrieval and grounding</w:t>
            </w:r>
          </w:p>
        </w:tc>
        <w:tc>
          <w:tcPr>
            <w:tcW w:type="dxa" w:w="3500"/>
            <w:vAlign w:val="center"/>
          </w:tcPr>
          <w:p>
            <w:pPr>
              <w:spacing w:after="40" w:before="40"/>
            </w:pPr>
            <w:r>
              <w:t>Patient-scoped patient, record, and knowledge retrieval</w:t>
            </w:r>
          </w:p>
        </w:tc>
        <w:tc>
          <w:tcPr>
            <w:tcW w:type="dxa" w:w="3660"/>
            <w:vAlign w:val="center"/>
          </w:tcPr>
          <w:p>
            <w:pPr>
              <w:spacing w:after="40" w:before="40"/>
            </w:pPr>
            <w:r>
              <w:t>Patient View, source records, and provenance</w:t>
            </w:r>
          </w:p>
        </w:tc>
      </w:tr>
      <w:tr>
        <w:trPr>
          <w:cantSplit/>
        </w:trPr>
        <w:tc>
          <w:tcPr>
            <w:tcW w:type="dxa" w:w="2200"/>
            <w:vAlign w:val="center"/>
          </w:tcPr>
          <w:p>
            <w:pPr>
              <w:spacing w:after="40" w:before="40"/>
            </w:pPr>
            <w:r>
              <w:t>Planning and tool use</w:t>
            </w:r>
          </w:p>
        </w:tc>
        <w:tc>
          <w:tcPr>
            <w:tcW w:type="dxa" w:w="3500"/>
            <w:vAlign w:val="center"/>
          </w:tcPr>
          <w:p>
            <w:pPr>
              <w:spacing w:after="40" w:before="40"/>
            </w:pPr>
            <w:r>
              <w:t>Ordered plan separated from conditional execution</w:t>
            </w:r>
          </w:p>
        </w:tc>
        <w:tc>
          <w:tcPr>
            <w:tcW w:type="dxa" w:w="3660"/>
            <w:vAlign w:val="center"/>
          </w:tcPr>
          <w:p>
            <w:pPr>
              <w:spacing w:after="40" w:before="40"/>
            </w:pPr>
            <w:r>
              <w:t>Planning View and workflow diagnostics</w:t>
            </w:r>
          </w:p>
        </w:tc>
      </w:tr>
      <w:tr>
        <w:trPr>
          <w:cantSplit/>
        </w:trPr>
        <w:tc>
          <w:tcPr>
            <w:tcW w:type="dxa" w:w="2200"/>
            <w:vAlign w:val="center"/>
          </w:tcPr>
          <w:p>
            <w:pPr>
              <w:spacing w:after="40" w:before="40"/>
            </w:pPr>
            <w:r>
              <w:t>Doctor and appointment workflow</w:t>
            </w:r>
          </w:p>
        </w:tc>
        <w:tc>
          <w:tcPr>
            <w:tcW w:type="dxa" w:w="3500"/>
            <w:vAlign w:val="center"/>
          </w:tcPr>
          <w:p>
            <w:pPr>
              <w:spacing w:after="40" w:before="40"/>
            </w:pPr>
            <w:r>
              <w:t>Specialty matching and explicit authorization gate</w:t>
            </w:r>
          </w:p>
        </w:tc>
        <w:tc>
          <w:tcPr>
            <w:tcW w:type="dxa" w:w="3660"/>
            <w:vAlign w:val="center"/>
          </w:tcPr>
          <w:p>
            <w:pPr>
              <w:spacing w:after="40" w:before="40"/>
            </w:pPr>
            <w:r>
              <w:t>Doctor View and appointment outcome</w:t>
            </w:r>
          </w:p>
        </w:tc>
      </w:tr>
      <w:tr>
        <w:trPr>
          <w:cantSplit/>
        </w:trPr>
        <w:tc>
          <w:tcPr>
            <w:tcW w:type="dxa" w:w="2200"/>
            <w:vAlign w:val="center"/>
          </w:tcPr>
          <w:p>
            <w:pPr>
              <w:spacing w:after="40" w:before="40"/>
            </w:pPr>
            <w:r>
              <w:t>Evaluation</w:t>
            </w:r>
          </w:p>
        </w:tc>
        <w:tc>
          <w:tcPr>
            <w:tcW w:type="dxa" w:w="3500"/>
            <w:vAlign w:val="center"/>
          </w:tcPr>
          <w:p>
            <w:pPr>
              <w:spacing w:after="40" w:before="40"/>
            </w:pPr>
            <w:r>
              <w:t>Deterministic, semantic, and response-precision assessment</w:t>
            </w:r>
          </w:p>
        </w:tc>
        <w:tc>
          <w:tcPr>
            <w:tcW w:type="dxa" w:w="3660"/>
            <w:vAlign w:val="center"/>
          </w:tcPr>
          <w:p>
            <w:pPr>
              <w:spacing w:after="40" w:before="40"/>
            </w:pPr>
            <w:r>
              <w:t>Evaluation Status and reported metrics</w:t>
            </w:r>
          </w:p>
        </w:tc>
      </w:tr>
      <w:tr>
        <w:trPr>
          <w:cantSplit/>
        </w:trPr>
        <w:tc>
          <w:tcPr>
            <w:tcW w:type="dxa" w:w="2200"/>
            <w:vAlign w:val="center"/>
          </w:tcPr>
          <w:p>
            <w:pPr>
              <w:spacing w:after="40" w:before="40"/>
            </w:pPr>
            <w:r>
              <w:t>Memory governance</w:t>
            </w:r>
          </w:p>
        </w:tc>
        <w:tc>
          <w:tcPr>
            <w:tcW w:type="dxa" w:w="3500"/>
            <w:vAlign w:val="center"/>
          </w:tcPr>
          <w:p>
            <w:pPr>
              <w:spacing w:after="40" w:before="40"/>
            </w:pPr>
            <w:r>
              <w:t>Patient-scoped acceptance with READ/WRITE/SKIP events</w:t>
            </w:r>
          </w:p>
        </w:tc>
        <w:tc>
          <w:tcPr>
            <w:tcW w:type="dxa" w:w="3660"/>
            <w:vAlign w:val="center"/>
          </w:tcPr>
          <w:p>
            <w:pPr>
              <w:spacing w:after="40" w:before="40"/>
            </w:pPr>
            <w:r>
              <w:t>Memory Diagnostics and isolation tests</w:t>
            </w:r>
          </w:p>
        </w:tc>
      </w:tr>
    </w:tbl>
    <w:p>
      <w:pPr>
        <w:pStyle w:val="Heading1"/>
      </w:pPr>
      <w:r>
        <w:t>Appendix B. Phase-by-Phase Research and Standards Alignment</w:t>
      </w:r>
    </w:p>
    <w:tbl>
      <w:tblPr>
        <w:tblW w:type="auto" w:w="0"/>
        <w:jc w:val="center"/>
        <w:tblLayout w:type="fixed"/>
        <w:tblLook w:firstColumn="1" w:firstRow="1" w:lastColumn="0" w:lastRow="0" w:noHBand="0" w:noVBand="1" w:val="04A0"/>
      </w:tblPr>
      <w:tblGrid>
        <w:gridCol w:w="9648"/>
      </w:tblGrid>
      <w:tr>
        <w:trPr>
          <w:cantSplit/>
        </w:trPr>
        <w:tc>
          <w:tcPr>
            <w:tcW w:type="dxa" w:w="9360"/>
            <w:shd w:fill="FFF4DD"/>
            <w:vAlign w:val="center"/>
          </w:tcPr>
          <w:p>
            <w:pPr>
              <w:pStyle w:val="Callout"/>
            </w:pPr>
            <w:r>
              <w:rPr>
                <w:b/>
              </w:rPr>
              <w:t xml:space="preserve">Source-use disclosure: </w:t>
            </w:r>
            <w:r>
              <w:rPr>
                <w:b w:val="0"/>
              </w:rPr>
              <w:t>Some sources informed development directly; others were identified during final assessment. Retrospective sources validate or contextualize completed decisions and are not presented as having originally caused those decisions.</w:t>
            </w:r>
          </w:p>
        </w:tc>
      </w:tr>
    </w:tbl>
    <w:p>
      <w:pPr>
        <w:spacing w:after="0"/>
      </w:pP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1250"/>
            <w:shd w:fill="F2F4F7"/>
            <w:vAlign w:val="center"/>
          </w:tcPr>
          <w:p>
            <w:pPr>
              <w:spacing w:after="40" w:before="40"/>
            </w:pPr>
            <w:r>
              <w:rPr>
                <w:b/>
                <w:color w:val="17324D"/>
              </w:rPr>
              <w:t>Phase</w:t>
            </w:r>
          </w:p>
        </w:tc>
        <w:tc>
          <w:tcPr>
            <w:tcW w:type="dxa" w:w="2050"/>
            <w:shd w:fill="F2F4F7"/>
            <w:vAlign w:val="center"/>
          </w:tcPr>
          <w:p>
            <w:pPr>
              <w:spacing w:after="40" w:before="40"/>
            </w:pPr>
            <w:r>
              <w:rPr>
                <w:b/>
                <w:color w:val="17324D"/>
              </w:rPr>
              <w:t>Engineering concern</w:t>
            </w:r>
          </w:p>
        </w:tc>
        <w:tc>
          <w:tcPr>
            <w:tcW w:type="dxa" w:w="2700"/>
            <w:shd w:fill="F2F4F7"/>
            <w:vAlign w:val="center"/>
          </w:tcPr>
          <w:p>
            <w:pPr>
              <w:spacing w:after="40" w:before="40"/>
            </w:pPr>
            <w:r>
              <w:rPr>
                <w:b/>
                <w:color w:val="17324D"/>
              </w:rPr>
              <w:t>Research or standard</w:t>
            </w:r>
          </w:p>
        </w:tc>
        <w:tc>
          <w:tcPr>
            <w:tcW w:type="dxa" w:w="3360"/>
            <w:shd w:fill="F2F4F7"/>
            <w:vAlign w:val="center"/>
          </w:tcPr>
          <w:p>
            <w:pPr>
              <w:spacing w:after="40" w:before="40"/>
            </w:pPr>
            <w:r>
              <w:rPr>
                <w:b/>
                <w:color w:val="17324D"/>
              </w:rPr>
              <w:t>Application and boundary</w:t>
            </w:r>
          </w:p>
        </w:tc>
      </w:tr>
      <w:tr>
        <w:trPr>
          <w:cantSplit/>
        </w:trPr>
        <w:tc>
          <w:tcPr>
            <w:tcW w:type="dxa" w:w="1250"/>
            <w:vAlign w:val="center"/>
          </w:tcPr>
          <w:p>
            <w:pPr>
              <w:spacing w:after="40" w:before="40"/>
            </w:pPr>
            <w:r>
              <w:t>Phase 0: Compliance baseline</w:t>
            </w:r>
          </w:p>
        </w:tc>
        <w:tc>
          <w:tcPr>
            <w:tcW w:type="dxa" w:w="2050"/>
            <w:vAlign w:val="center"/>
          </w:tcPr>
          <w:p>
            <w:pPr>
              <w:spacing w:after="40" w:before="40"/>
            </w:pPr>
            <w:r>
              <w:t>Risk, scope, secure development</w:t>
            </w:r>
          </w:p>
        </w:tc>
        <w:tc>
          <w:tcPr>
            <w:tcW w:type="dxa" w:w="2700"/>
            <w:vAlign w:val="center"/>
          </w:tcPr>
          <w:p>
            <w:pPr>
              <w:spacing w:after="40" w:before="40"/>
            </w:pPr>
            <w:r>
              <w:t>NIST AI RMF 1.0; NIST SSDF; WHO (2021)</w:t>
            </w:r>
          </w:p>
        </w:tc>
        <w:tc>
          <w:tcPr>
            <w:tcW w:type="dxa" w:w="3360"/>
            <w:vAlign w:val="center"/>
          </w:tcPr>
          <w:p>
            <w:pPr>
              <w:spacing w:after="40" w:before="40"/>
            </w:pPr>
            <w:r>
              <w:t>Supports explicit boundaries, traceability, human oversight, and secure packaging. These sources do not certify the prototype.</w:t>
            </w:r>
          </w:p>
        </w:tc>
      </w:tr>
      <w:tr>
        <w:trPr>
          <w:cantSplit/>
        </w:trPr>
        <w:tc>
          <w:tcPr>
            <w:tcW w:type="dxa" w:w="1250"/>
            <w:vAlign w:val="center"/>
          </w:tcPr>
          <w:p>
            <w:pPr>
              <w:spacing w:after="40" w:before="40"/>
            </w:pPr>
            <w:r>
              <w:t>Phase 1: Planning and orchestration</w:t>
            </w:r>
          </w:p>
        </w:tc>
        <w:tc>
          <w:tcPr>
            <w:tcW w:type="dxa" w:w="2050"/>
            <w:vAlign w:val="center"/>
          </w:tcPr>
          <w:p>
            <w:pPr>
              <w:spacing w:after="40" w:before="40"/>
            </w:pPr>
            <w:r>
              <w:t>Task decomposition and tool-directed action</w:t>
            </w:r>
          </w:p>
        </w:tc>
        <w:tc>
          <w:tcPr>
            <w:tcW w:type="dxa" w:w="2700"/>
            <w:vAlign w:val="center"/>
          </w:tcPr>
          <w:p>
            <w:pPr>
              <w:spacing w:after="40" w:before="40"/>
            </w:pPr>
            <w:r>
              <w:t>Yao et al. (2023), ReAct</w:t>
            </w:r>
          </w:p>
        </w:tc>
        <w:tc>
          <w:tcPr>
            <w:tcW w:type="dxa" w:w="3360"/>
            <w:vAlign w:val="center"/>
          </w:tcPr>
          <w:p>
            <w:pPr>
              <w:spacing w:after="40" w:before="40"/>
            </w:pPr>
            <w:r>
              <w:t>Supports separation and coordination of reasoning and action. The project uses its own bounded graph and does not claim to reproduce ReAct.</w:t>
            </w:r>
          </w:p>
        </w:tc>
      </w:tr>
      <w:tr>
        <w:trPr>
          <w:cantSplit/>
        </w:trPr>
        <w:tc>
          <w:tcPr>
            <w:tcW w:type="dxa" w:w="1250"/>
            <w:vAlign w:val="center"/>
          </w:tcPr>
          <w:p>
            <w:pPr>
              <w:spacing w:after="40" w:before="40"/>
            </w:pPr>
            <w:r>
              <w:t>Phase 2: Memory and persistence</w:t>
            </w:r>
          </w:p>
        </w:tc>
        <w:tc>
          <w:tcPr>
            <w:tcW w:type="dxa" w:w="2050"/>
            <w:vAlign w:val="center"/>
          </w:tcPr>
          <w:p>
            <w:pPr>
              <w:spacing w:after="40" w:before="40"/>
            </w:pPr>
            <w:r>
              <w:t>Memory architecture, isolation, and provenance</w:t>
            </w:r>
          </w:p>
        </w:tc>
        <w:tc>
          <w:tcPr>
            <w:tcW w:type="dxa" w:w="2700"/>
            <w:vAlign w:val="center"/>
          </w:tcPr>
          <w:p>
            <w:pPr>
              <w:spacing w:after="40" w:before="40"/>
            </w:pPr>
            <w:r>
              <w:t>Park et al. (2023); NIST AI RMF 1.0</w:t>
            </w:r>
          </w:p>
        </w:tc>
        <w:tc>
          <w:tcPr>
            <w:tcW w:type="dxa" w:w="3360"/>
            <w:vAlign w:val="center"/>
          </w:tcPr>
          <w:p>
            <w:pPr>
              <w:spacing w:after="40" w:before="40"/>
            </w:pPr>
            <w:r>
              <w:t>Contextualizes retrieval, reflection, memory, and traceability. Patient-scoped admission controls are project-specific.</w:t>
            </w:r>
          </w:p>
        </w:tc>
      </w:tr>
      <w:tr>
        <w:trPr>
          <w:cantSplit/>
        </w:trPr>
        <w:tc>
          <w:tcPr>
            <w:tcW w:type="dxa" w:w="1250"/>
            <w:vAlign w:val="center"/>
          </w:tcPr>
          <w:p>
            <w:pPr>
              <w:spacing w:after="40" w:before="40"/>
            </w:pPr>
            <w:r>
              <w:t>Phase 3: Evaluation and reliability</w:t>
            </w:r>
          </w:p>
        </w:tc>
        <w:tc>
          <w:tcPr>
            <w:tcW w:type="dxa" w:w="2050"/>
            <w:vAlign w:val="center"/>
          </w:tcPr>
          <w:p>
            <w:pPr>
              <w:spacing w:after="40" w:before="40"/>
            </w:pPr>
            <w:r>
              <w:t>Groundedness, faithfulness, and component evaluation</w:t>
            </w:r>
          </w:p>
        </w:tc>
        <w:tc>
          <w:tcPr>
            <w:tcW w:type="dxa" w:w="2700"/>
            <w:vAlign w:val="center"/>
          </w:tcPr>
          <w:p>
            <w:pPr>
              <w:spacing w:after="40" w:before="40"/>
            </w:pPr>
            <w:r>
              <w:t>Es et al. (2024); Saad-Falcon et al. (2024)</w:t>
            </w:r>
          </w:p>
        </w:tc>
        <w:tc>
          <w:tcPr>
            <w:tcW w:type="dxa" w:w="3360"/>
            <w:vAlign w:val="center"/>
          </w:tcPr>
          <w:p>
            <w:pPr>
              <w:spacing w:after="40" w:before="40"/>
            </w:pPr>
            <w:r>
              <w:t>Supports multi-dimensional RAG evaluation. Project metrics and dual gates are locally implemented and scenario-bounded.</w:t>
            </w:r>
          </w:p>
        </w:tc>
      </w:tr>
      <w:tr>
        <w:trPr>
          <w:cantSplit/>
        </w:trPr>
        <w:tc>
          <w:tcPr>
            <w:tcW w:type="dxa" w:w="1250"/>
            <w:vAlign w:val="center"/>
          </w:tcPr>
          <w:p>
            <w:pPr>
              <w:spacing w:after="40" w:before="40"/>
            </w:pPr>
            <w:r>
              <w:t>Phase 4: Closure and submission</w:t>
            </w:r>
          </w:p>
        </w:tc>
        <w:tc>
          <w:tcPr>
            <w:tcW w:type="dxa" w:w="2050"/>
            <w:vAlign w:val="center"/>
          </w:tcPr>
          <w:p>
            <w:pPr>
              <w:spacing w:after="40" w:before="40"/>
            </w:pPr>
            <w:r>
              <w:t>Human verification, security, and evidence integrity</w:t>
            </w:r>
          </w:p>
        </w:tc>
        <w:tc>
          <w:tcPr>
            <w:tcW w:type="dxa" w:w="2700"/>
            <w:vAlign w:val="center"/>
          </w:tcPr>
          <w:p>
            <w:pPr>
              <w:spacing w:after="40" w:before="40"/>
            </w:pPr>
            <w:r>
              <w:t>Barke et al. (2023); Mozannar et al. (2024); Perry et al. (2023); NIST SSDF</w:t>
            </w:r>
          </w:p>
        </w:tc>
        <w:tc>
          <w:tcPr>
            <w:tcW w:type="dxa" w:w="3360"/>
            <w:vAlign w:val="center"/>
          </w:tcPr>
          <w:p>
            <w:pPr>
              <w:spacing w:after="40" w:before="40"/>
            </w:pPr>
            <w:r>
              <w:t>Supports human review, testing, bounded trust, and release controls. It does not imply independent certification.</w:t>
            </w:r>
          </w:p>
        </w:tc>
      </w:tr>
      <w:tr>
        <w:trPr>
          <w:cantSplit/>
        </w:trPr>
        <w:tc>
          <w:tcPr>
            <w:tcW w:type="dxa" w:w="1250"/>
            <w:vAlign w:val="center"/>
          </w:tcPr>
          <w:p>
            <w:pPr>
              <w:spacing w:after="40" w:before="40"/>
            </w:pPr>
            <w:r>
              <w:t>Cross-cutting healthcare boundary</w:t>
            </w:r>
          </w:p>
        </w:tc>
        <w:tc>
          <w:tcPr>
            <w:tcW w:type="dxa" w:w="2050"/>
            <w:vAlign w:val="center"/>
          </w:tcPr>
          <w:p>
            <w:pPr>
              <w:spacing w:after="40" w:before="40"/>
            </w:pPr>
            <w:r>
              <w:t>Trustworthy healthcare AI and lifecycle controls</w:t>
            </w:r>
          </w:p>
        </w:tc>
        <w:tc>
          <w:tcPr>
            <w:tcW w:type="dxa" w:w="2700"/>
            <w:vAlign w:val="center"/>
          </w:tcPr>
          <w:p>
            <w:pPr>
              <w:spacing w:after="40" w:before="40"/>
            </w:pPr>
            <w:r>
              <w:t>WHO (2021); Lekadir et al. (2025)</w:t>
            </w:r>
          </w:p>
        </w:tc>
        <w:tc>
          <w:tcPr>
            <w:tcW w:type="dxa" w:w="3360"/>
            <w:vAlign w:val="center"/>
          </w:tcPr>
          <w:p>
            <w:pPr>
              <w:spacing w:after="40" w:before="40"/>
            </w:pPr>
            <w:r>
              <w:t>Supports transparency, traceability, robustness, explainability, and human oversight. The prototype is not clinically validated.</w:t>
            </w:r>
          </w:p>
        </w:tc>
      </w:tr>
    </w:tbl>
    <w:p>
      <w:r>
        <w:br w:type="page"/>
      </w:r>
    </w:p>
    <w:p>
      <w:pPr>
        <w:pStyle w:val="Heading1"/>
      </w:pPr>
      <w:r>
        <w:t>Appendix C. Human-AI Contribution and Verification Record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val="true"/>
          <w:cantSplit/>
        </w:trPr>
        <w:tc>
          <w:tcPr>
            <w:tcW w:type="dxa" w:w="1900"/>
            <w:shd w:fill="F2F4F7"/>
            <w:vAlign w:val="center"/>
          </w:tcPr>
          <w:p>
            <w:pPr>
              <w:spacing w:after="40" w:before="40"/>
            </w:pPr>
            <w:r>
              <w:rPr>
                <w:b/>
                <w:color w:val="17324D"/>
              </w:rPr>
              <w:t>Representative activity</w:t>
            </w:r>
          </w:p>
        </w:tc>
        <w:tc>
          <w:tcPr>
            <w:tcW w:type="dxa" w:w="2360"/>
            <w:shd w:fill="F2F4F7"/>
            <w:vAlign w:val="center"/>
          </w:tcPr>
          <w:p>
            <w:pPr>
              <w:spacing w:after="40" w:before="40"/>
            </w:pPr>
            <w:r>
              <w:rPr>
                <w:b/>
                <w:color w:val="17324D"/>
              </w:rPr>
              <w:t>AI contribution</w:t>
            </w:r>
          </w:p>
        </w:tc>
        <w:tc>
          <w:tcPr>
            <w:tcW w:type="dxa" w:w="2360"/>
            <w:shd w:fill="F2F4F7"/>
            <w:vAlign w:val="center"/>
          </w:tcPr>
          <w:p>
            <w:pPr>
              <w:spacing w:after="40" w:before="40"/>
            </w:pPr>
            <w:r>
              <w:rPr>
                <w:b/>
                <w:color w:val="17324D"/>
              </w:rPr>
              <w:t>Human control</w:t>
            </w:r>
          </w:p>
        </w:tc>
        <w:tc>
          <w:tcPr>
            <w:tcW w:type="dxa" w:w="2740"/>
            <w:shd w:fill="F2F4F7"/>
            <w:vAlign w:val="center"/>
          </w:tcPr>
          <w:p>
            <w:pPr>
              <w:spacing w:after="40" w:before="40"/>
            </w:pPr>
            <w:r>
              <w:rPr>
                <w:b/>
                <w:color w:val="17324D"/>
              </w:rPr>
              <w:t>Acceptance evidence</w:t>
            </w:r>
          </w:p>
        </w:tc>
      </w:tr>
      <w:tr>
        <w:trPr>
          <w:cantSplit/>
        </w:trPr>
        <w:tc>
          <w:tcPr>
            <w:tcW w:type="dxa" w:w="1900"/>
            <w:vAlign w:val="center"/>
          </w:tcPr>
          <w:p>
            <w:pPr>
              <w:spacing w:after="40" w:before="40"/>
            </w:pPr>
            <w:r>
              <w:t>REQ-016 planning correction</w:t>
            </w:r>
          </w:p>
        </w:tc>
        <w:tc>
          <w:tcPr>
            <w:tcW w:type="dxa" w:w="2360"/>
            <w:vAlign w:val="center"/>
          </w:tcPr>
          <w:p>
            <w:pPr>
              <w:spacing w:after="40" w:before="40"/>
            </w:pPr>
            <w:r>
              <w:t>Proposed schema and prompt changes</w:t>
            </w:r>
          </w:p>
        </w:tc>
        <w:tc>
          <w:tcPr>
            <w:tcW w:type="dxa" w:w="2360"/>
            <w:vAlign w:val="center"/>
          </w:tcPr>
          <w:p>
            <w:pPr>
              <w:spacing w:after="40" w:before="40"/>
            </w:pPr>
            <w:r>
              <w:t>Reviewed and approved bounded implementation</w:t>
            </w:r>
          </w:p>
        </w:tc>
        <w:tc>
          <w:tcPr>
            <w:tcW w:type="dxa" w:w="2740"/>
            <w:vAlign w:val="center"/>
          </w:tcPr>
          <w:p>
            <w:pPr>
              <w:spacing w:after="40" w:before="40"/>
            </w:pPr>
            <w:r>
              <w:t>Compilation, live structured response, and regression suite</w:t>
            </w:r>
          </w:p>
        </w:tc>
      </w:tr>
      <w:tr>
        <w:trPr>
          <w:cantSplit/>
        </w:trPr>
        <w:tc>
          <w:tcPr>
            <w:tcW w:type="dxa" w:w="1900"/>
            <w:vAlign w:val="center"/>
          </w:tcPr>
          <w:p>
            <w:pPr>
              <w:spacing w:after="40" w:before="40"/>
            </w:pPr>
            <w:r>
              <w:t>Patient-scoped memory</w:t>
            </w:r>
          </w:p>
        </w:tc>
        <w:tc>
          <w:tcPr>
            <w:tcW w:type="dxa" w:w="2360"/>
            <w:vAlign w:val="center"/>
          </w:tcPr>
          <w:p>
            <w:pPr>
              <w:spacing w:after="40" w:before="40"/>
            </w:pPr>
            <w:r>
              <w:t>Supported gap analysis and test design</w:t>
            </w:r>
          </w:p>
        </w:tc>
        <w:tc>
          <w:tcPr>
            <w:tcW w:type="dxa" w:w="2360"/>
            <w:vAlign w:val="center"/>
          </w:tcPr>
          <w:p>
            <w:pPr>
              <w:spacing w:after="40" w:before="40"/>
            </w:pPr>
            <w:r>
              <w:t>Approved implementation and executed isolation checks</w:t>
            </w:r>
          </w:p>
        </w:tc>
        <w:tc>
          <w:tcPr>
            <w:tcW w:type="dxa" w:w="2740"/>
            <w:vAlign w:val="center"/>
          </w:tcPr>
          <w:p>
            <w:pPr>
              <w:spacing w:after="40" w:before="40"/>
            </w:pPr>
            <w:r>
              <w:t>READ/WRITE/SKIP events and memory tests</w:t>
            </w:r>
          </w:p>
        </w:tc>
      </w:tr>
      <w:tr>
        <w:trPr>
          <w:cantSplit/>
        </w:trPr>
        <w:tc>
          <w:tcPr>
            <w:tcW w:type="dxa" w:w="1900"/>
            <w:vAlign w:val="center"/>
          </w:tcPr>
          <w:p>
            <w:pPr>
              <w:spacing w:after="40" w:before="40"/>
            </w:pPr>
            <w:r>
              <w:t>Evaluation gates</w:t>
            </w:r>
          </w:p>
        </w:tc>
        <w:tc>
          <w:tcPr>
            <w:tcW w:type="dxa" w:w="2360"/>
            <w:vAlign w:val="center"/>
          </w:tcPr>
          <w:p>
            <w:pPr>
              <w:spacing w:after="40" w:before="40"/>
            </w:pPr>
            <w:r>
              <w:t>Helped interpret failures and propose checks</w:t>
            </w:r>
          </w:p>
        </w:tc>
        <w:tc>
          <w:tcPr>
            <w:tcW w:type="dxa" w:w="2360"/>
            <w:vAlign w:val="center"/>
          </w:tcPr>
          <w:p>
            <w:pPr>
              <w:spacing w:after="40" w:before="40"/>
            </w:pPr>
            <w:r>
              <w:t>Reviewed outputs and determined acceptance</w:t>
            </w:r>
          </w:p>
        </w:tc>
        <w:tc>
          <w:tcPr>
            <w:tcW w:type="dxa" w:w="2740"/>
            <w:vAlign w:val="center"/>
          </w:tcPr>
          <w:p>
            <w:pPr>
              <w:spacing w:after="40" w:before="40"/>
            </w:pPr>
            <w:r>
              <w:t>Deterministic PASS, semantic PASS, accepted for memory YES</w:t>
            </w:r>
          </w:p>
        </w:tc>
      </w:tr>
      <w:tr>
        <w:trPr>
          <w:cantSplit/>
        </w:trPr>
        <w:tc>
          <w:tcPr>
            <w:tcW w:type="dxa" w:w="1900"/>
            <w:vAlign w:val="center"/>
          </w:tcPr>
          <w:p>
            <w:pPr>
              <w:spacing w:after="40" w:before="40"/>
            </w:pPr>
            <w:r>
              <w:t>Secret exclusion</w:t>
            </w:r>
          </w:p>
        </w:tc>
        <w:tc>
          <w:tcPr>
            <w:tcW w:type="dxa" w:w="2360"/>
            <w:vAlign w:val="center"/>
          </w:tcPr>
          <w:p>
            <w:pPr>
              <w:spacing w:after="40" w:before="40"/>
            </w:pPr>
            <w:r>
              <w:t>Proposed inspection commands and filename patterns</w:t>
            </w:r>
          </w:p>
        </w:tc>
        <w:tc>
          <w:tcPr>
            <w:tcW w:type="dxa" w:w="2360"/>
            <w:vAlign w:val="center"/>
          </w:tcPr>
          <w:p>
            <w:pPr>
              <w:spacing w:after="40" w:before="40"/>
            </w:pPr>
            <w:r>
              <w:t>Executed checks and inspected results</w:t>
            </w:r>
          </w:p>
        </w:tc>
        <w:tc>
          <w:tcPr>
            <w:tcW w:type="dxa" w:w="2740"/>
            <w:vAlign w:val="center"/>
          </w:tcPr>
          <w:p>
            <w:pPr>
              <w:spacing w:after="40" w:before="40"/>
            </w:pPr>
            <w:r>
              <w:t>No credential-bearing files included; placeholder-only .env.example</w:t>
            </w:r>
          </w:p>
        </w:tc>
      </w:tr>
      <w:tr>
        <w:trPr>
          <w:cantSplit/>
        </w:trPr>
        <w:tc>
          <w:tcPr>
            <w:tcW w:type="dxa" w:w="1900"/>
            <w:vAlign w:val="center"/>
          </w:tcPr>
          <w:p>
            <w:pPr>
              <w:spacing w:after="40" w:before="40"/>
            </w:pPr>
            <w:r>
              <w:t>Evidence and reporting</w:t>
            </w:r>
          </w:p>
        </w:tc>
        <w:tc>
          <w:tcPr>
            <w:tcW w:type="dxa" w:w="2360"/>
            <w:vAlign w:val="center"/>
          </w:tcPr>
          <w:p>
            <w:pPr>
              <w:spacing w:after="40" w:before="40"/>
            </w:pPr>
            <w:r>
              <w:t>Assisted organization, drafting, and layout</w:t>
            </w:r>
          </w:p>
        </w:tc>
        <w:tc>
          <w:tcPr>
            <w:tcW w:type="dxa" w:w="2360"/>
            <w:vAlign w:val="center"/>
          </w:tcPr>
          <w:p>
            <w:pPr>
              <w:spacing w:after="40" w:before="40"/>
            </w:pPr>
            <w:r>
              <w:t>Reviewed claims and retained authorship</w:t>
            </w:r>
          </w:p>
        </w:tc>
        <w:tc>
          <w:tcPr>
            <w:tcW w:type="dxa" w:w="2740"/>
            <w:vAlign w:val="center"/>
          </w:tcPr>
          <w:p>
            <w:pPr>
              <w:spacing w:after="40" w:before="40"/>
            </w:pPr>
            <w:r>
              <w:t>Evidence deck, report, register, and verified metrics</w:t>
            </w:r>
          </w:p>
        </w:tc>
      </w:tr>
    </w:tbl>
    <w:p>
      <w:pPr>
        <w:pStyle w:val="Heading1"/>
      </w:pPr>
      <w:r>
        <w:t>Appendix D. Final Evaluation and Evidence Summary</w:t>
      </w:r>
    </w:p>
    <w:p>
      <w:pPr>
        <w:pStyle w:val="ListBullet"/>
        <w:spacing w:after="120"/>
        <w:ind w:left="720" w:hanging="360"/>
      </w:pPr>
      <w:r>
        <w:t>Requirements satisfied: 40 of 40</w:t>
      </w:r>
    </w:p>
    <w:p>
      <w:pPr>
        <w:pStyle w:val="ListBullet"/>
        <w:spacing w:after="120"/>
        <w:ind w:left="720" w:hanging="360"/>
      </w:pPr>
      <w:r>
        <w:t>Unresolved requirements: 0</w:t>
      </w:r>
    </w:p>
    <w:p>
      <w:pPr>
        <w:pStyle w:val="ListBullet"/>
        <w:spacing w:after="120"/>
        <w:ind w:left="720" w:hanging="360"/>
      </w:pPr>
      <w:r>
        <w:t>Full regression: 125 tests passed</w:t>
      </w:r>
    </w:p>
    <w:p>
      <w:pPr>
        <w:pStyle w:val="ListBullet"/>
        <w:spacing w:after="120"/>
        <w:ind w:left="720" w:hanging="360"/>
      </w:pPr>
      <w:r>
        <w:t>Python compilation: passed</w:t>
      </w:r>
    </w:p>
    <w:p>
      <w:pPr>
        <w:pStyle w:val="ListBullet"/>
        <w:spacing w:after="120"/>
        <w:ind w:left="720" w:hanging="360"/>
      </w:pPr>
      <w:r>
        <w:t>Booking success rate: 81.82% (9 successful bookings / 11 attempts)</w:t>
      </w:r>
    </w:p>
    <w:p>
      <w:pPr>
        <w:pStyle w:val="ListBullet"/>
        <w:spacing w:after="120"/>
        <w:ind w:left="720" w:hanging="360"/>
      </w:pPr>
      <w:r>
        <w:t>Response precision: 98.86% (87 supported / 88 verifiable claims)</w:t>
      </w:r>
    </w:p>
    <w:p>
      <w:pPr>
        <w:pStyle w:val="ListBullet"/>
        <w:spacing w:after="120"/>
        <w:ind w:left="720" w:hanging="360"/>
      </w:pPr>
      <w:r>
        <w:t>Demonstrated run: 4 tools attempted, 4 successful, 0 failed</w:t>
      </w:r>
    </w:p>
    <w:p>
      <w:pPr>
        <w:pStyle w:val="ListBullet"/>
        <w:spacing w:after="120"/>
        <w:ind w:left="720" w:hanging="360"/>
      </w:pPr>
      <w:r>
        <w:t>Deterministic evaluation: PASS</w:t>
      </w:r>
    </w:p>
    <w:p>
      <w:pPr>
        <w:pStyle w:val="ListBullet"/>
        <w:spacing w:after="120"/>
        <w:ind w:left="720" w:hanging="360"/>
      </w:pPr>
      <w:r>
        <w:t>Semantic evaluation: PASS</w:t>
      </w:r>
    </w:p>
    <w:p>
      <w:pPr>
        <w:pStyle w:val="ListBullet"/>
        <w:spacing w:after="120"/>
        <w:ind w:left="720" w:hanging="360"/>
      </w:pPr>
      <w:r>
        <w:t>Accepted for memory: YES</w:t>
      </w:r>
    </w:p>
    <w:p>
      <w:pPr>
        <w:pStyle w:val="ListBullet"/>
        <w:spacing w:after="120"/>
        <w:ind w:left="720" w:hanging="360"/>
      </w:pPr>
      <w:r>
        <w:t>Patient-memory mutation during final verification: none</w:t>
      </w:r>
    </w:p>
    <w:p>
      <w:r>
        <w:t>These values are evidence from the bounded demonstration and persisted project records. They are not clinical-performance claims, production service-level guarantees, or evidence of regulatory compliance.</w:t>
      </w:r>
    </w:p>
    <w:p>
      <w:pPr>
        <w:pStyle w:val="Heading1"/>
      </w:pPr>
      <w:r>
        <w:t>Appendix E. Responsible-Use and Submission Controls</w:t>
      </w:r>
    </w:p>
    <w:p>
      <w:pPr>
        <w:pStyle w:val="ListBullet"/>
        <w:spacing w:after="120"/>
        <w:ind w:left="720" w:hanging="360"/>
      </w:pPr>
      <w:r>
        <w:t>All patient, medical-record, doctor, and appointment information is synthetic demonstration data.</w:t>
      </w:r>
    </w:p>
    <w:p>
      <w:pPr>
        <w:pStyle w:val="ListBullet"/>
        <w:spacing w:after="120"/>
        <w:ind w:left="720" w:hanging="360"/>
      </w:pPr>
      <w:r>
        <w:t>The application is an educational workflow-automation prototype and is not a medical diagnostic system.</w:t>
      </w:r>
    </w:p>
    <w:p>
      <w:pPr>
        <w:pStyle w:val="ListBullet"/>
        <w:spacing w:after="120"/>
        <w:ind w:left="720" w:hanging="360"/>
      </w:pPr>
      <w:r>
        <w:t>The system does not provide medical advice or replace qualified healthcare professionals.</w:t>
      </w:r>
    </w:p>
    <w:p>
      <w:pPr>
        <w:pStyle w:val="ListBullet"/>
        <w:spacing w:after="120"/>
        <w:ind w:left="720" w:hanging="360"/>
      </w:pPr>
      <w:r>
        <w:t>Appointment actions require explicit user intent; planning output does not authorize execution.</w:t>
      </w:r>
    </w:p>
    <w:p>
      <w:pPr>
        <w:pStyle w:val="ListBullet"/>
        <w:spacing w:after="120"/>
        <w:ind w:left="720" w:hanging="360"/>
      </w:pPr>
      <w:r>
        <w:t>Memory persistence requires deterministic and semantic acceptance and remains patient-scoped.</w:t>
      </w:r>
    </w:p>
    <w:p>
      <w:pPr>
        <w:pStyle w:val="ListBullet"/>
        <w:spacing w:after="120"/>
        <w:ind w:left="720" w:hanging="360"/>
      </w:pPr>
      <w:r>
        <w:t>The submission excludes .env files, API keys, credentials, secrets.json, credentials.json, and service-account files.</w:t>
      </w:r>
    </w:p>
    <w:p>
      <w:pPr>
        <w:pStyle w:val="ListBullet"/>
        <w:spacing w:after="120"/>
        <w:ind w:left="720" w:hanging="360"/>
      </w:pPr>
      <w:r>
        <w:t>.env.example contains a placeholder only and is provided for local configuration guidance.</w:t>
      </w:r>
    </w:p>
    <w:p>
      <w:pPr>
        <w:pStyle w:val="ListBullet"/>
        <w:spacing w:after="120"/>
        <w:ind w:left="720" w:hanging="360"/>
      </w:pPr>
      <w:r>
        <w:t>Docker was excluded from the critical submission path because it was optional and did not alter core requirement satisfaction.</w:t>
      </w:r>
    </w:p>
    <w:p>
      <w:pPr>
        <w:pStyle w:val="Heading1"/>
      </w:pPr>
      <w:r>
        <w:t>Appendix F. Submission Evidence Index</w:t>
      </w:r>
    </w:p>
    <w:tbl>
      <w:tblPr>
        <w:tblStyle w:val="TableGrid"/>
        <w:tblW w:type="auto" w:w="0"/>
        <w:jc w:val="center"/>
        <w:tblLayout w:type="fixed"/>
        <w:tblLook w:firstColumn="1" w:firstRow="1" w:lastColumn="0" w:lastRow="0" w:noHBand="0" w:noVBand="1" w:val="04A0"/>
      </w:tblPr>
      <w:tblGrid>
        <w:gridCol w:w="4824"/>
        <w:gridCol w:w="4824"/>
      </w:tblGrid>
      <w:tr>
        <w:trPr>
          <w:tblHeader w:val="true"/>
          <w:cantSplit/>
        </w:trPr>
        <w:tc>
          <w:tcPr>
            <w:tcW w:type="dxa" w:w="2900"/>
            <w:shd w:fill="F2F4F7"/>
            <w:vAlign w:val="center"/>
          </w:tcPr>
          <w:p>
            <w:pPr>
              <w:spacing w:after="40" w:before="40"/>
            </w:pPr>
            <w:r>
              <w:rPr>
                <w:b/>
                <w:color w:val="17324D"/>
              </w:rPr>
              <w:t>Item</w:t>
            </w:r>
          </w:p>
        </w:tc>
        <w:tc>
          <w:tcPr>
            <w:tcW w:type="dxa" w:w="6460"/>
            <w:shd w:fill="F2F4F7"/>
            <w:vAlign w:val="center"/>
          </w:tcPr>
          <w:p>
            <w:pPr>
              <w:spacing w:after="40" w:before="40"/>
            </w:pPr>
            <w:r>
              <w:rPr>
                <w:b/>
                <w:color w:val="17324D"/>
              </w:rPr>
              <w:t>Recommended filename</w:t>
            </w:r>
          </w:p>
        </w:tc>
      </w:tr>
      <w:tr>
        <w:trPr>
          <w:cantSplit/>
        </w:trPr>
        <w:tc>
          <w:tcPr>
            <w:tcW w:type="dxa" w:w="2900"/>
            <w:vAlign w:val="center"/>
          </w:tcPr>
          <w:p>
            <w:pPr>
              <w:spacing w:after="40" w:before="40"/>
            </w:pPr>
            <w:r>
              <w:t>Project package</w:t>
            </w:r>
          </w:p>
        </w:tc>
        <w:tc>
          <w:tcPr>
            <w:tcW w:type="dxa" w:w="6460"/>
            <w:vAlign w:val="center"/>
          </w:tcPr>
          <w:p>
            <w:pPr>
              <w:spacing w:after="40" w:before="40"/>
            </w:pPr>
            <w:r>
              <w:t>Agentic_Healthcare_Assistant_Capstone_FINAL.zip</w:t>
            </w:r>
          </w:p>
        </w:tc>
      </w:tr>
      <w:tr>
        <w:trPr>
          <w:cantSplit/>
        </w:trPr>
        <w:tc>
          <w:tcPr>
            <w:tcW w:type="dxa" w:w="2900"/>
            <w:vAlign w:val="center"/>
          </w:tcPr>
          <w:p>
            <w:pPr>
              <w:spacing w:after="40" w:before="40"/>
            </w:pPr>
            <w:r>
              <w:t>Evidence deck</w:t>
            </w:r>
          </w:p>
        </w:tc>
        <w:tc>
          <w:tcPr>
            <w:tcW w:type="dxa" w:w="6460"/>
            <w:vAlign w:val="center"/>
          </w:tcPr>
          <w:p>
            <w:pPr>
              <w:spacing w:after="40" w:before="40"/>
            </w:pPr>
            <w:r>
              <w:t>01_Agentic_Healthcare_Assistant_Evidence_Deck.pdf</w:t>
            </w:r>
          </w:p>
        </w:tc>
      </w:tr>
      <w:tr>
        <w:trPr>
          <w:cantSplit/>
        </w:trPr>
        <w:tc>
          <w:tcPr>
            <w:tcW w:type="dxa" w:w="2900"/>
            <w:vAlign w:val="center"/>
          </w:tcPr>
          <w:p>
            <w:pPr>
              <w:spacing w:after="40" w:before="40"/>
            </w:pPr>
            <w:r>
              <w:t>Compliance register</w:t>
            </w:r>
          </w:p>
        </w:tc>
        <w:tc>
          <w:tcPr>
            <w:tcW w:type="dxa" w:w="6460"/>
            <w:vAlign w:val="center"/>
          </w:tcPr>
          <w:p>
            <w:pPr>
              <w:spacing w:after="40" w:before="40"/>
            </w:pPr>
            <w:r>
              <w:t>Agentic_Healthcare_Assistant_Definitive_Compliance_Register_FINAL.xlsx</w:t>
            </w:r>
          </w:p>
        </w:tc>
      </w:tr>
      <w:tr>
        <w:trPr>
          <w:cantSplit/>
        </w:trPr>
        <w:tc>
          <w:tcPr>
            <w:tcW w:type="dxa" w:w="2900"/>
            <w:vAlign w:val="center"/>
          </w:tcPr>
          <w:p>
            <w:pPr>
              <w:spacing w:after="40" w:before="40"/>
            </w:pPr>
            <w:r>
              <w:t>Capstone report</w:t>
            </w:r>
          </w:p>
        </w:tc>
        <w:tc>
          <w:tcPr>
            <w:tcW w:type="dxa" w:w="6460"/>
            <w:vAlign w:val="center"/>
          </w:tcPr>
          <w:p>
            <w:pPr>
              <w:spacing w:after="40" w:before="40"/>
            </w:pPr>
            <w:r>
              <w:t>02_Agentic_Healthcare_Assistant_Capstone_Report.docx</w:t>
            </w:r>
          </w:p>
        </w:tc>
      </w:tr>
      <w:tr>
        <w:trPr>
          <w:cantSplit/>
        </w:trPr>
        <w:tc>
          <w:tcPr>
            <w:tcW w:type="dxa" w:w="2900"/>
            <w:vAlign w:val="center"/>
          </w:tcPr>
          <w:p>
            <w:pPr>
              <w:spacing w:after="40" w:before="40"/>
            </w:pPr>
            <w:r>
              <w:t>Configuration template</w:t>
            </w:r>
          </w:p>
        </w:tc>
        <w:tc>
          <w:tcPr>
            <w:tcW w:type="dxa" w:w="6460"/>
            <w:vAlign w:val="center"/>
          </w:tcPr>
          <w:p>
            <w:pPr>
              <w:spacing w:after="40" w:before="40"/>
            </w:pPr>
            <w:r>
              <w:t>.env.example</w:t>
            </w:r>
          </w:p>
        </w:tc>
      </w:tr>
      <w:tr>
        <w:trPr>
          <w:cantSplit/>
        </w:trPr>
        <w:tc>
          <w:tcPr>
            <w:tcW w:type="dxa" w:w="2900"/>
            <w:vAlign w:val="center"/>
          </w:tcPr>
          <w:p>
            <w:pPr>
              <w:spacing w:after="40" w:before="40"/>
            </w:pPr>
            <w:r>
              <w:t>AI Enablement and FDE workflow</w:t>
            </w:r>
          </w:p>
        </w:tc>
        <w:tc>
          <w:tcPr>
            <w:tcW w:type="dxa" w:w="6460"/>
            <w:vAlign w:val="center"/>
          </w:tcPr>
          <w:p>
            <w:pPr>
              <w:spacing w:after="40" w:before="40"/>
            </w:pPr>
            <w:r>
              <w:t>03_AI_Enablement_FDE_Swimlane.pdf</w:t>
            </w:r>
          </w:p>
        </w:tc>
      </w:tr>
    </w:tbl>
    <w:p>
      <w:r>
        <w:t>Finalization note: Before submission, confirm that the compliance register, README, verification summary, report, and evidence deck display the same metric values and filenames.</w:t>
      </w:r>
    </w:p>
    <w:sectPr w:rsidR="00FC693F" w:rsidRPr="0006063C" w:rsidSect="00034616">
      <w:headerReference w:type="default" r:id="rId9"/>
      <w:headerReference w:type="even" r:id="rId10"/>
      <w:footerReference w:type="default" r:id="rId11"/>
      <w:footerReference w:type="even" r:id="rId12"/>
      <w:footerReference w:type="first" r:id="rId14"/>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080"/>
        <w:sz w:val="17"/>
      </w:rPr>
      <w:t xml:space="preserve">FINAL  |  SEPTEMBER 2026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080"/>
        <w:sz w:val="17"/>
      </w:rPr>
      <w:t xml:space="preserve">FINAL  |  SEPTEMBER 2026  |  PAGE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07080"/>
        <w:sz w:val="17"/>
      </w:rPr>
      <w:t>AGENTIC HEALTHCARE ASSISTANT  |  CAPSTONE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07080"/>
        <w:sz w:val="17"/>
      </w:rPr>
      <w:t>AGENTIC HEALTHCARE ASSISTANT  |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pPr>
    <w:rPr>
      <w:rFonts w:ascii="Calibri" w:hAnsi="Calibri"/>
      <w:b/>
      <w:color w:val="1732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Healthcare Assistant Capstone Report</dc:title>
  <dc:subject>Evidence-led capstone report for an agentic healthcare workflow prototype</dc:subject>
  <dc:creator>Francisco Soto</dc:creator>
  <cp:keywords/>
  <dc:description>Final submission-ready capstone report</dc:description>
  <cp:lastModifiedBy/>
  <cp:revision>1</cp:revision>
  <dcterms:created xsi:type="dcterms:W3CDTF">2013-12-23T23:15:00Z</dcterms:created>
  <dcterms:modified xsi:type="dcterms:W3CDTF">2013-12-23T23:15:00Z</dcterms:modified>
  <cp:category/>
</cp:coreProperties>
</file>