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30196" w14:textId="77777777" w:rsidR="00744505" w:rsidRPr="00A76A5B" w:rsidRDefault="00744505" w:rsidP="007867D5">
      <w:pPr>
        <w:pStyle w:val="SCT"/>
      </w:pPr>
      <w:r w:rsidRPr="00290A22">
        <w:rPr>
          <w:b/>
        </w:rPr>
        <w:t>SECTION</w:t>
      </w:r>
      <w:r w:rsidRPr="00A76A5B">
        <w:t xml:space="preserve"> </w:t>
      </w:r>
      <w:r w:rsidRPr="00A76A5B">
        <w:rPr>
          <w:rStyle w:val="NUM"/>
          <w:b/>
        </w:rPr>
        <w:t>00 00 00</w:t>
      </w:r>
      <w:r w:rsidRPr="00A76A5B">
        <w:t xml:space="preserve"> - </w:t>
      </w:r>
      <w:r w:rsidRPr="00A76A5B">
        <w:rPr>
          <w:rStyle w:val="NAM"/>
          <w:b/>
        </w:rPr>
        <w:t>SUSTAINABILITY TEMPLATE</w:t>
      </w:r>
    </w:p>
    <w:p w14:paraId="2B408AAB" w14:textId="77777777" w:rsidR="00744505" w:rsidRPr="00744505" w:rsidRDefault="00744505" w:rsidP="007867D5">
      <w:pPr>
        <w:pStyle w:val="CMT"/>
      </w:pPr>
      <w:r w:rsidRPr="00744505">
        <w:rPr>
          <w:b/>
        </w:rPr>
        <w:t>Editor’s Note</w:t>
      </w:r>
      <w:r w:rsidRPr="00744505">
        <w:t xml:space="preserve">: This template is to be used with guide specification Section 01 8113.01 “Sustainability Requirements – Indoor Air Quality.”  The template includes only the paragraphs relevant to indoor air quality, for insertion into the relevant technical Sections of projects with IAQ requirements.  Selectively copy and paste contents of this section </w:t>
      </w:r>
      <w:r w:rsidRPr="00744505">
        <w:rPr>
          <w:szCs w:val="22"/>
        </w:rPr>
        <w:t>to meet Project-specific indoor air quality requirements</w:t>
      </w:r>
      <w:r w:rsidRPr="00744505">
        <w:t xml:space="preserve"> in each technical section, in accordance with CSI Section Format and as applicable to scope of each section.</w:t>
      </w:r>
    </w:p>
    <w:p w14:paraId="66149E49" w14:textId="77777777" w:rsidR="00744505" w:rsidRPr="00744505" w:rsidRDefault="00744505" w:rsidP="007867D5">
      <w:pPr>
        <w:pStyle w:val="CMT"/>
      </w:pPr>
      <w:r w:rsidRPr="00744505">
        <w:t>This Section uses the term "Contractor." Change this term to match that used to identify the design professional as defined in the General and Supplementary Conditions.</w:t>
      </w:r>
    </w:p>
    <w:p w14:paraId="40093109" w14:textId="77777777" w:rsidR="00744505" w:rsidRDefault="00744505" w:rsidP="007867D5">
      <w:pPr>
        <w:pStyle w:val="PRT"/>
      </w:pPr>
      <w:r>
        <w:t>GENERAL</w:t>
      </w:r>
    </w:p>
    <w:p w14:paraId="3BAAE9EE" w14:textId="77777777" w:rsidR="00744505" w:rsidRDefault="00744505" w:rsidP="007867D5">
      <w:pPr>
        <w:pStyle w:val="ART"/>
      </w:pPr>
      <w:r>
        <w:t>SUMMARY</w:t>
      </w:r>
    </w:p>
    <w:p w14:paraId="26DD2A20" w14:textId="77777777" w:rsidR="00744505" w:rsidRPr="00744505" w:rsidRDefault="00744505" w:rsidP="007867D5">
      <w:pPr>
        <w:pStyle w:val="CMT"/>
      </w:pPr>
      <w:r w:rsidRPr="00744505">
        <w:t>Editor’s Note:  Edit the following according to specification Sections prepared for project.</w:t>
      </w:r>
    </w:p>
    <w:p w14:paraId="0DA5DF3A" w14:textId="77777777" w:rsidR="00744505" w:rsidRDefault="00744505" w:rsidP="007867D5">
      <w:pPr>
        <w:pStyle w:val="PR1"/>
      </w:pPr>
      <w:r>
        <w:t>Related Requirements:</w:t>
      </w:r>
    </w:p>
    <w:p w14:paraId="2F716021" w14:textId="77777777" w:rsidR="00744505" w:rsidRPr="00276D6C" w:rsidRDefault="00744505" w:rsidP="007867D5">
      <w:pPr>
        <w:pStyle w:val="PR2"/>
      </w:pPr>
      <w:r w:rsidRPr="00FB0389">
        <w:t>Sustainability Requirements – General 01</w:t>
      </w:r>
      <w:r>
        <w:t xml:space="preserve"> </w:t>
      </w:r>
      <w:r w:rsidRPr="00FB0389">
        <w:t>8113</w:t>
      </w:r>
      <w:r>
        <w:t>.</w:t>
      </w:r>
    </w:p>
    <w:p w14:paraId="2B81A456" w14:textId="77777777" w:rsidR="00744505" w:rsidRPr="00276D6C" w:rsidRDefault="00744505" w:rsidP="007867D5">
      <w:pPr>
        <w:pStyle w:val="PR2"/>
      </w:pPr>
      <w:r w:rsidRPr="00FB0389">
        <w:t xml:space="preserve">Sustainability Requirements </w:t>
      </w:r>
      <w:r>
        <w:t>–</w:t>
      </w:r>
      <w:r w:rsidRPr="00FB0389">
        <w:t xml:space="preserve"> Indoor Air Quality, Section 01</w:t>
      </w:r>
      <w:r>
        <w:t xml:space="preserve"> </w:t>
      </w:r>
      <w:r w:rsidRPr="00FB0389">
        <w:t>8113.01</w:t>
      </w:r>
      <w:r>
        <w:t>.</w:t>
      </w:r>
    </w:p>
    <w:p w14:paraId="278A429F" w14:textId="77777777" w:rsidR="00744505" w:rsidRPr="00276D6C" w:rsidRDefault="00744505" w:rsidP="007867D5">
      <w:pPr>
        <w:pStyle w:val="PR2"/>
      </w:pPr>
      <w:r w:rsidRPr="00FB0389">
        <w:t>Sustainability Requirements – Resource Efficiency, Section 01</w:t>
      </w:r>
      <w:r>
        <w:t xml:space="preserve"> </w:t>
      </w:r>
      <w:r w:rsidRPr="00FB0389">
        <w:t>8113.02</w:t>
      </w:r>
      <w:r>
        <w:t>.</w:t>
      </w:r>
    </w:p>
    <w:p w14:paraId="7E2A9D42" w14:textId="77777777" w:rsidR="00744505" w:rsidRDefault="00744505" w:rsidP="007867D5">
      <w:pPr>
        <w:pStyle w:val="PR2"/>
      </w:pPr>
      <w:r w:rsidRPr="00FB0389">
        <w:t>Sustainability Requirements - LEED, Section 01</w:t>
      </w:r>
      <w:r>
        <w:t xml:space="preserve"> </w:t>
      </w:r>
      <w:r w:rsidRPr="00FB0389">
        <w:t>8116</w:t>
      </w:r>
      <w:r>
        <w:t>.</w:t>
      </w:r>
    </w:p>
    <w:p w14:paraId="43DFE277" w14:textId="77777777" w:rsidR="00744505" w:rsidRDefault="00744505" w:rsidP="007867D5">
      <w:pPr>
        <w:pStyle w:val="PRT"/>
      </w:pPr>
      <w:r>
        <w:t>PRODUCTS</w:t>
      </w:r>
    </w:p>
    <w:p w14:paraId="7EFFC1DF" w14:textId="77777777" w:rsidR="00744505" w:rsidRDefault="00744505" w:rsidP="007867D5">
      <w:pPr>
        <w:pStyle w:val="ART"/>
      </w:pPr>
      <w:r>
        <w:t>SUSTAINABLE PRODUCTS</w:t>
      </w:r>
    </w:p>
    <w:p w14:paraId="34BD95A1" w14:textId="4D6B88BE" w:rsidR="00744505" w:rsidRPr="00744505" w:rsidRDefault="00744505" w:rsidP="007867D5">
      <w:pPr>
        <w:pStyle w:val="CMT"/>
      </w:pPr>
      <w:r w:rsidRPr="00744505">
        <w:t xml:space="preserve">Editor’s Note:  Copy and paste this ARTICLE into the relevant technical specification Sections.  Edit the </w:t>
      </w:r>
      <w:bookmarkStart w:id="0" w:name="_GoBack"/>
      <w:bookmarkEnd w:id="0"/>
      <w:r w:rsidRPr="00744505">
        <w:t>Section numbers in the paragraphs below according to what is included in the project.</w:t>
      </w:r>
    </w:p>
    <w:p w14:paraId="682200A7" w14:textId="77777777" w:rsidR="00744505" w:rsidRPr="00E46CB8" w:rsidRDefault="00744505" w:rsidP="007867D5">
      <w:pPr>
        <w:pStyle w:val="PR1"/>
      </w:pPr>
      <w:r>
        <w:t xml:space="preserve">General:  </w:t>
      </w:r>
      <w:r w:rsidRPr="00FB0389">
        <w:t>Products in this section may also be required to comply with sustainability requirements described in Sections 01</w:t>
      </w:r>
      <w:r>
        <w:t xml:space="preserve"> </w:t>
      </w:r>
      <w:r w:rsidRPr="00FB0389">
        <w:t>8113, 01</w:t>
      </w:r>
      <w:r>
        <w:t xml:space="preserve"> </w:t>
      </w:r>
      <w:r w:rsidRPr="00FB0389">
        <w:t>8113.01,</w:t>
      </w:r>
      <w:r>
        <w:t xml:space="preserve"> and</w:t>
      </w:r>
      <w:r w:rsidRPr="00FB0389">
        <w:t xml:space="preserve"> 01</w:t>
      </w:r>
      <w:r>
        <w:t xml:space="preserve"> </w:t>
      </w:r>
      <w:r w:rsidRPr="00FB0389">
        <w:t>8113.02 and 01</w:t>
      </w:r>
      <w:r>
        <w:t xml:space="preserve"> </w:t>
      </w:r>
      <w:r w:rsidRPr="00FB0389">
        <w:t>811</w:t>
      </w:r>
      <w:r>
        <w:t>6</w:t>
      </w:r>
      <w:r w:rsidRPr="00FB0389">
        <w:t>; including, but not limited to, the following</w:t>
      </w:r>
      <w:r>
        <w:t>:</w:t>
      </w:r>
    </w:p>
    <w:p w14:paraId="7B7FE539" w14:textId="77777777" w:rsidR="00744505" w:rsidRPr="00E46CB8" w:rsidRDefault="00744505" w:rsidP="007867D5">
      <w:pPr>
        <w:pStyle w:val="PR2"/>
      </w:pPr>
      <w:r>
        <w:t>Energy e</w:t>
      </w:r>
      <w:r w:rsidRPr="00FB0389">
        <w:t>fficiency</w:t>
      </w:r>
      <w:r>
        <w:t>.</w:t>
      </w:r>
    </w:p>
    <w:p w14:paraId="7489C4BF" w14:textId="77777777" w:rsidR="00744505" w:rsidRPr="00E46CB8" w:rsidRDefault="00744505" w:rsidP="007867D5">
      <w:pPr>
        <w:pStyle w:val="PR2"/>
      </w:pPr>
      <w:r>
        <w:t>Water e</w:t>
      </w:r>
      <w:r w:rsidRPr="00FB0389">
        <w:t>fficiency</w:t>
      </w:r>
      <w:r>
        <w:t>.</w:t>
      </w:r>
    </w:p>
    <w:p w14:paraId="644DDC21" w14:textId="77777777" w:rsidR="00744505" w:rsidRPr="00E46CB8" w:rsidRDefault="00744505" w:rsidP="007867D5">
      <w:pPr>
        <w:pStyle w:val="PR2"/>
      </w:pPr>
      <w:r w:rsidRPr="00FB0389">
        <w:t>VOC content</w:t>
      </w:r>
      <w:r>
        <w:t>.</w:t>
      </w:r>
    </w:p>
    <w:p w14:paraId="1A02CADD" w14:textId="77777777" w:rsidR="00744505" w:rsidRPr="00E46CB8" w:rsidRDefault="00744505" w:rsidP="007867D5">
      <w:pPr>
        <w:pStyle w:val="PR2"/>
      </w:pPr>
      <w:r w:rsidRPr="00FB0389">
        <w:t>VOC emissions</w:t>
      </w:r>
      <w:r>
        <w:t>.</w:t>
      </w:r>
    </w:p>
    <w:p w14:paraId="782D30D6" w14:textId="77777777" w:rsidR="00744505" w:rsidRPr="00E46CB8" w:rsidRDefault="00744505" w:rsidP="007867D5">
      <w:pPr>
        <w:pStyle w:val="PR2"/>
      </w:pPr>
      <w:r w:rsidRPr="00FB0389">
        <w:t>Chemical content</w:t>
      </w:r>
      <w:r>
        <w:t>.</w:t>
      </w:r>
    </w:p>
    <w:p w14:paraId="78B7768D" w14:textId="77777777" w:rsidR="00744505" w:rsidRPr="00E46CB8" w:rsidRDefault="00744505" w:rsidP="007867D5">
      <w:pPr>
        <w:pStyle w:val="PR2"/>
      </w:pPr>
      <w:r w:rsidRPr="00FB0389">
        <w:t>Renewable or bio-based material content</w:t>
      </w:r>
      <w:r>
        <w:t>.</w:t>
      </w:r>
    </w:p>
    <w:p w14:paraId="314C0652" w14:textId="77777777" w:rsidR="00744505" w:rsidRPr="00E46CB8" w:rsidRDefault="00744505" w:rsidP="007867D5">
      <w:pPr>
        <w:pStyle w:val="PR2"/>
      </w:pPr>
      <w:r w:rsidRPr="00FB0389">
        <w:t>Sustainable forestry</w:t>
      </w:r>
      <w:r>
        <w:t>.</w:t>
      </w:r>
    </w:p>
    <w:p w14:paraId="4C9B3E72" w14:textId="77777777" w:rsidR="00744505" w:rsidRPr="00E46CB8" w:rsidRDefault="00744505" w:rsidP="007867D5">
      <w:pPr>
        <w:pStyle w:val="PR2"/>
      </w:pPr>
      <w:r>
        <w:t>Life C</w:t>
      </w:r>
      <w:r w:rsidRPr="004C4A72">
        <w:t>ycle Analysis</w:t>
      </w:r>
      <w:r>
        <w:t xml:space="preserve"> (LCA)</w:t>
      </w:r>
      <w:r w:rsidRPr="004C4A72">
        <w:t xml:space="preserve"> or Durability</w:t>
      </w:r>
      <w:r>
        <w:t>.</w:t>
      </w:r>
    </w:p>
    <w:p w14:paraId="7AB78044" w14:textId="77777777" w:rsidR="00744505" w:rsidRPr="00DC0D4E" w:rsidRDefault="00744505" w:rsidP="007867D5">
      <w:pPr>
        <w:pStyle w:val="PR2"/>
      </w:pPr>
      <w:r>
        <w:t>&lt;</w:t>
      </w:r>
      <w:r w:rsidRPr="00DC0D4E">
        <w:t xml:space="preserve">Add additional </w:t>
      </w:r>
      <w:r>
        <w:t xml:space="preserve">sustainable </w:t>
      </w:r>
      <w:r w:rsidRPr="00DC0D4E">
        <w:t>strategies if they apply</w:t>
      </w:r>
      <w:r>
        <w:t>.&gt;</w:t>
      </w:r>
    </w:p>
    <w:p w14:paraId="6CC09D46" w14:textId="77777777" w:rsidR="00744505" w:rsidRPr="00744505" w:rsidRDefault="00744505" w:rsidP="007867D5">
      <w:pPr>
        <w:pStyle w:val="CMT"/>
      </w:pPr>
      <w:r w:rsidRPr="00744505">
        <w:t>Editor’s Note:  Insert paragraph below into technical specification Sections that specify INTERIOR composite wood and agrifiber products.</w:t>
      </w:r>
    </w:p>
    <w:p w14:paraId="345E67EA" w14:textId="77777777" w:rsidR="00744505" w:rsidRDefault="00744505" w:rsidP="007867D5">
      <w:pPr>
        <w:pStyle w:val="PR1"/>
      </w:pPr>
      <w:r w:rsidRPr="00FB0389">
        <w:rPr>
          <w:bCs/>
        </w:rPr>
        <w:t>Composite Wood and Agrifiber Products, Indoor Air Quality:</w:t>
      </w:r>
      <w:r w:rsidRPr="00FB0389">
        <w:t xml:space="preserve">  Products shall comply with requirements specified in Section 01</w:t>
      </w:r>
      <w:r>
        <w:t xml:space="preserve"> </w:t>
      </w:r>
      <w:r w:rsidRPr="00FB0389">
        <w:t>8113.01</w:t>
      </w:r>
      <w:r>
        <w:t>.</w:t>
      </w:r>
    </w:p>
    <w:p w14:paraId="24C53BA0" w14:textId="77777777" w:rsidR="00744505" w:rsidRPr="00744505" w:rsidRDefault="00744505" w:rsidP="007867D5">
      <w:pPr>
        <w:pStyle w:val="CMT"/>
      </w:pPr>
      <w:r w:rsidRPr="00744505">
        <w:lastRenderedPageBreak/>
        <w:t>Editor’s Note:  Insert paragraph below into technical specification Sections that specify INTERIOR wall and ceiling system products (i.e.: gypsum board, insulation, acoustic ceiling tile, and wall coverings).</w:t>
      </w:r>
    </w:p>
    <w:p w14:paraId="3D8D24C5" w14:textId="77777777" w:rsidR="00744505" w:rsidRDefault="00744505" w:rsidP="007867D5">
      <w:pPr>
        <w:pStyle w:val="PR1"/>
      </w:pPr>
      <w:r>
        <w:rPr>
          <w:bCs/>
        </w:rPr>
        <w:t>Wall</w:t>
      </w:r>
      <w:r w:rsidRPr="004C4A72">
        <w:rPr>
          <w:bCs/>
        </w:rPr>
        <w:t xml:space="preserve"> and </w:t>
      </w:r>
      <w:r>
        <w:rPr>
          <w:bCs/>
        </w:rPr>
        <w:t>Ceiling</w:t>
      </w:r>
      <w:r w:rsidRPr="004C4A72">
        <w:rPr>
          <w:bCs/>
        </w:rPr>
        <w:t xml:space="preserve"> Systems, Indoor Air Quality:</w:t>
      </w:r>
      <w:r w:rsidRPr="004C4A72">
        <w:t xml:space="preserve">  Products shall comply with requirements specified in Section 01</w:t>
      </w:r>
      <w:r>
        <w:t xml:space="preserve"> </w:t>
      </w:r>
      <w:r w:rsidRPr="004C4A72">
        <w:t>8113.01</w:t>
      </w:r>
      <w:r>
        <w:t>.</w:t>
      </w:r>
    </w:p>
    <w:p w14:paraId="6AC86385" w14:textId="77777777" w:rsidR="00744505" w:rsidRPr="00744505" w:rsidRDefault="00744505" w:rsidP="007867D5">
      <w:pPr>
        <w:pStyle w:val="CMT"/>
      </w:pPr>
      <w:r w:rsidRPr="00744505">
        <w:t>Editor’ Note:  Insert paragraph below into technical specification Sections that specify INTERIOR floor assembly products (i.e.: wood flooring, resilient base and accessories, resilient flooring, resinous flooring, and carpeting).</w:t>
      </w:r>
    </w:p>
    <w:p w14:paraId="249EC9DF" w14:textId="77777777" w:rsidR="00744505" w:rsidRDefault="00744505" w:rsidP="007867D5">
      <w:pPr>
        <w:pStyle w:val="PR1"/>
      </w:pPr>
      <w:r w:rsidRPr="004C4A72">
        <w:t>Flooring Systems, Indoor Air Quality:  Products shall comply with requirements specified in Section 01</w:t>
      </w:r>
      <w:r>
        <w:t xml:space="preserve"> </w:t>
      </w:r>
      <w:r w:rsidRPr="004C4A72">
        <w:t>8113.01</w:t>
      </w:r>
      <w:r>
        <w:t>.</w:t>
      </w:r>
    </w:p>
    <w:p w14:paraId="7AB340DB" w14:textId="77777777" w:rsidR="00744505" w:rsidRPr="00744505" w:rsidRDefault="00744505" w:rsidP="007867D5">
      <w:pPr>
        <w:pStyle w:val="CMT"/>
      </w:pPr>
      <w:r w:rsidRPr="00744505">
        <w:t>Editor’s Note:  Insert paragraph below into technical specification Sections that specify INTERIOR FIELD-APPLIED paint and coating system products.</w:t>
      </w:r>
    </w:p>
    <w:p w14:paraId="49CC1163" w14:textId="77777777" w:rsidR="00744505" w:rsidRDefault="00744505" w:rsidP="007867D5">
      <w:pPr>
        <w:pStyle w:val="PR1"/>
      </w:pPr>
      <w:r w:rsidRPr="00FB0389">
        <w:rPr>
          <w:bCs/>
        </w:rPr>
        <w:t>Field-Applied Interior Paints and Coatings, Indoor Air Quality:</w:t>
      </w:r>
      <w:r w:rsidRPr="00FB0389">
        <w:t xml:space="preserve">  Products shall comply with requirements specified in Section 01</w:t>
      </w:r>
      <w:r>
        <w:t xml:space="preserve"> </w:t>
      </w:r>
      <w:r w:rsidRPr="00FB0389">
        <w:t>8113.01</w:t>
      </w:r>
      <w:r>
        <w:t>.</w:t>
      </w:r>
    </w:p>
    <w:p w14:paraId="34C3D84F" w14:textId="77777777" w:rsidR="00744505" w:rsidRDefault="00744505" w:rsidP="007867D5">
      <w:pPr>
        <w:pStyle w:val="ART"/>
      </w:pPr>
      <w:r>
        <w:t>ADHESIVES, MASTICS, GLUES, AND SEALANTS</w:t>
      </w:r>
    </w:p>
    <w:p w14:paraId="584E2444" w14:textId="77777777" w:rsidR="00744505" w:rsidRPr="00744505" w:rsidRDefault="00744505" w:rsidP="007867D5">
      <w:pPr>
        <w:pStyle w:val="CMT"/>
      </w:pPr>
      <w:r w:rsidRPr="00744505">
        <w:t>Editor’s Note:  Insert paragraph below into technical specification Sections that specify INTERIOR FIELD-APPLIED adhesive, mastics, glues and sealant system products.</w:t>
      </w:r>
    </w:p>
    <w:p w14:paraId="48D22F2D" w14:textId="77777777" w:rsidR="00744505" w:rsidRPr="00611BA0" w:rsidRDefault="00744505" w:rsidP="007867D5">
      <w:pPr>
        <w:pStyle w:val="PR1"/>
      </w:pPr>
      <w:r w:rsidRPr="00FB0389">
        <w:rPr>
          <w:bCs/>
        </w:rPr>
        <w:t>General:</w:t>
      </w:r>
      <w:r w:rsidRPr="00FB0389">
        <w:t xml:space="preserve">  Do not use </w:t>
      </w:r>
      <w:r>
        <w:t>products</w:t>
      </w:r>
      <w:r w:rsidRPr="00FB0389">
        <w:t xml:space="preserve"> that contain urea-formaldehyde</w:t>
      </w:r>
      <w:r>
        <w:t>.</w:t>
      </w:r>
    </w:p>
    <w:p w14:paraId="4268AF75" w14:textId="77777777" w:rsidR="00744505" w:rsidRPr="00611BA0" w:rsidRDefault="00744505" w:rsidP="007867D5">
      <w:pPr>
        <w:pStyle w:val="PR1"/>
      </w:pPr>
      <w:r w:rsidRPr="00FB0389">
        <w:rPr>
          <w:bCs/>
        </w:rPr>
        <w:t>VOC Limits:</w:t>
      </w:r>
      <w:r w:rsidRPr="00FB0389">
        <w:t xml:space="preserve">  Products shall comply with requirements </w:t>
      </w:r>
      <w:r>
        <w:t>specified in Section 01 8113.01.</w:t>
      </w:r>
    </w:p>
    <w:p w14:paraId="451FFABD" w14:textId="77777777" w:rsidR="00744505" w:rsidRDefault="00744505" w:rsidP="007867D5">
      <w:pPr>
        <w:pStyle w:val="PRT"/>
      </w:pPr>
      <w:bookmarkStart w:id="1" w:name="OLE_LINK83"/>
      <w:bookmarkStart w:id="2" w:name="OLE_LINK84"/>
      <w:r>
        <w:t>EXECUTION – NOT USED</w:t>
      </w:r>
    </w:p>
    <w:bookmarkEnd w:id="1"/>
    <w:bookmarkEnd w:id="2"/>
    <w:p w14:paraId="76E2F953" w14:textId="77777777" w:rsidR="00744505" w:rsidRDefault="00744505" w:rsidP="007867D5">
      <w:pPr>
        <w:pStyle w:val="EOS"/>
      </w:pPr>
      <w:r>
        <w:t xml:space="preserve">END OF SECTION </w:t>
      </w:r>
      <w:r>
        <w:rPr>
          <w:rStyle w:val="NUM"/>
        </w:rPr>
        <w:t>00 00 00</w:t>
      </w:r>
    </w:p>
    <w:p w14:paraId="73A0FEFC" w14:textId="77777777" w:rsidR="00744505" w:rsidRDefault="00744505" w:rsidP="007867D5">
      <w:pPr>
        <w:rPr>
          <w:color w:val="0000FF"/>
        </w:rPr>
      </w:pPr>
      <w:r>
        <w:br w:type="page"/>
      </w:r>
    </w:p>
    <w:p w14:paraId="40C0FC3A" w14:textId="77777777" w:rsidR="00A76A5B" w:rsidRPr="00A76A5B" w:rsidRDefault="00A76A5B" w:rsidP="007867D5">
      <w:pPr>
        <w:pStyle w:val="SCT"/>
      </w:pPr>
      <w:r w:rsidRPr="00A76A5B">
        <w:lastRenderedPageBreak/>
        <w:t xml:space="preserve">SECTION </w:t>
      </w:r>
      <w:r w:rsidRPr="00A76A5B">
        <w:rPr>
          <w:rStyle w:val="NUM"/>
          <w:b/>
        </w:rPr>
        <w:t>01 81 13.01</w:t>
      </w:r>
      <w:r w:rsidRPr="00A76A5B">
        <w:t xml:space="preserve"> - </w:t>
      </w:r>
      <w:r w:rsidRPr="00A76A5B">
        <w:rPr>
          <w:rStyle w:val="NAM"/>
          <w:b/>
        </w:rPr>
        <w:t>SUSTAINABILITY REQUIREMENTS - INDOOR AIR QUALITY</w:t>
      </w:r>
    </w:p>
    <w:p w14:paraId="43FD03A1" w14:textId="223F5B5F" w:rsidR="00873967" w:rsidRPr="00833A10" w:rsidRDefault="00873967" w:rsidP="007867D5">
      <w:pPr>
        <w:pStyle w:val="CMT"/>
      </w:pPr>
      <w:r w:rsidRPr="006E40FB">
        <w:rPr>
          <w:b/>
        </w:rPr>
        <w:t>Editor’s Note</w:t>
      </w:r>
      <w:r w:rsidRPr="00833A10">
        <w:t xml:space="preserve">:  This </w:t>
      </w:r>
      <w:r w:rsidR="002263A4">
        <w:t xml:space="preserve">Division 01 </w:t>
      </w:r>
      <w:r w:rsidRPr="00833A10">
        <w:t xml:space="preserve">Section </w:t>
      </w:r>
      <w:r w:rsidR="00295BF9">
        <w:t xml:space="preserve">of the architectural specification </w:t>
      </w:r>
      <w:r w:rsidRPr="00833A10">
        <w:t xml:space="preserve">is intended to be used by design professionals </w:t>
      </w:r>
      <w:r w:rsidR="0017493E">
        <w:t xml:space="preserve">as a specification </w:t>
      </w:r>
      <w:r w:rsidRPr="00833A10">
        <w:t>for building products</w:t>
      </w:r>
      <w:r w:rsidR="002263A4">
        <w:t>, systems and processes</w:t>
      </w:r>
      <w:r w:rsidRPr="00833A10">
        <w:t xml:space="preserve"> that contribute to indoor air</w:t>
      </w:r>
      <w:r w:rsidR="00E3495B">
        <w:t xml:space="preserve"> </w:t>
      </w:r>
      <w:r w:rsidRPr="00833A10">
        <w:t>quality</w:t>
      </w:r>
      <w:r w:rsidR="0077140D">
        <w:t xml:space="preserve"> </w:t>
      </w:r>
      <w:r w:rsidRPr="00833A10">
        <w:t xml:space="preserve">in single family </w:t>
      </w:r>
      <w:r w:rsidR="00CC6C95">
        <w:t xml:space="preserve">and multifamily low-rise </w:t>
      </w:r>
      <w:r w:rsidRPr="00833A10">
        <w:t xml:space="preserve">and </w:t>
      </w:r>
      <w:r w:rsidR="00CC6C95">
        <w:t xml:space="preserve">multifamily </w:t>
      </w:r>
      <w:r w:rsidRPr="00833A10">
        <w:t xml:space="preserve">mid-rise residential projects. </w:t>
      </w:r>
      <w:r w:rsidR="002263A4">
        <w:t xml:space="preserve"> </w:t>
      </w:r>
      <w:r w:rsidRPr="00833A10">
        <w:t xml:space="preserve">It is provided with comments to the specification writer and </w:t>
      </w:r>
      <w:r w:rsidR="00A74935">
        <w:t>must</w:t>
      </w:r>
      <w:r w:rsidR="00A74935" w:rsidRPr="00833A10">
        <w:t xml:space="preserve"> </w:t>
      </w:r>
      <w:r w:rsidRPr="00833A10">
        <w:t xml:space="preserve">be edited </w:t>
      </w:r>
      <w:r w:rsidR="002263A4">
        <w:t>as required</w:t>
      </w:r>
      <w:r w:rsidRPr="00833A10">
        <w:t xml:space="preserve"> to comply with specific </w:t>
      </w:r>
      <w:r w:rsidR="002263A4">
        <w:t xml:space="preserve">Project </w:t>
      </w:r>
      <w:r w:rsidR="007065CA">
        <w:t xml:space="preserve">requirements.  </w:t>
      </w:r>
      <w:r w:rsidR="002263A4">
        <w:t xml:space="preserve">The </w:t>
      </w:r>
      <w:r w:rsidR="007065CA">
        <w:t xml:space="preserve">Section is focused </w:t>
      </w:r>
      <w:r w:rsidR="002263A4">
        <w:t xml:space="preserve">primarily </w:t>
      </w:r>
      <w:r w:rsidR="007065CA">
        <w:t xml:space="preserve">on </w:t>
      </w:r>
      <w:r w:rsidR="00D06F6D">
        <w:t>indoor air quality (</w:t>
      </w:r>
      <w:r w:rsidR="007065CA">
        <w:t>IAQ</w:t>
      </w:r>
      <w:r w:rsidR="002263A4">
        <w:t xml:space="preserve">) </w:t>
      </w:r>
      <w:r w:rsidR="0017493E">
        <w:t xml:space="preserve">and other related environmental impacts </w:t>
      </w:r>
      <w:r w:rsidR="002263A4">
        <w:t xml:space="preserve">and </w:t>
      </w:r>
      <w:r w:rsidR="00162DB3">
        <w:t>should</w:t>
      </w:r>
      <w:r w:rsidR="002263A4">
        <w:t xml:space="preserve"> </w:t>
      </w:r>
      <w:r w:rsidR="007065CA">
        <w:t>be coordinated with other</w:t>
      </w:r>
      <w:r w:rsidR="00D06F6D">
        <w:t xml:space="preserve"> </w:t>
      </w:r>
      <w:r w:rsidR="00162DB3">
        <w:t>T</w:t>
      </w:r>
      <w:r w:rsidR="002263A4">
        <w:t xml:space="preserve">echnical </w:t>
      </w:r>
      <w:r w:rsidR="00D06F6D">
        <w:t xml:space="preserve">Sections </w:t>
      </w:r>
      <w:r w:rsidR="002263A4">
        <w:t>that specify environmental</w:t>
      </w:r>
      <w:r w:rsidR="007065CA">
        <w:t xml:space="preserve"> requirements</w:t>
      </w:r>
      <w:r w:rsidR="0017493E">
        <w:t xml:space="preserve"> for each of the building systems and products</w:t>
      </w:r>
      <w:r w:rsidR="007065CA">
        <w:t>.</w:t>
      </w:r>
      <w:r w:rsidR="00B75ACA">
        <w:t xml:space="preserve">  It may also be used as a guide for the selection of products, rather than including it as a </w:t>
      </w:r>
      <w:r w:rsidR="00E122DC">
        <w:t>S</w:t>
      </w:r>
      <w:r w:rsidR="00B75ACA">
        <w:t>pecification Section.</w:t>
      </w:r>
    </w:p>
    <w:p w14:paraId="5C810BDB" w14:textId="30C8018D" w:rsidR="00873967" w:rsidRPr="00E122DC" w:rsidRDefault="00873967" w:rsidP="007867D5">
      <w:pPr>
        <w:pStyle w:val="CMT"/>
      </w:pPr>
      <w:r w:rsidRPr="00833A10">
        <w:t>At the end of this Section are two Appendices:  Appendix A – References</w:t>
      </w:r>
      <w:r w:rsidR="00D37C33">
        <w:t xml:space="preserve"> and Resources</w:t>
      </w:r>
      <w:r w:rsidRPr="00833A10">
        <w:t xml:space="preserve">, and Appendix B – Definitions.  These </w:t>
      </w:r>
      <w:r w:rsidR="002263A4">
        <w:t xml:space="preserve">appendices are intended as resources for </w:t>
      </w:r>
      <w:r w:rsidR="00A74935">
        <w:t xml:space="preserve">the </w:t>
      </w:r>
      <w:r w:rsidRPr="00833A10">
        <w:t xml:space="preserve">specification </w:t>
      </w:r>
      <w:r w:rsidR="00E74DA2">
        <w:t>writer</w:t>
      </w:r>
      <w:r w:rsidRPr="00833A10">
        <w:t xml:space="preserve"> and may be</w:t>
      </w:r>
      <w:r w:rsidR="004769E7">
        <w:t xml:space="preserve"> selectively</w:t>
      </w:r>
      <w:r w:rsidRPr="00833A10">
        <w:t xml:space="preserve"> added </w:t>
      </w:r>
      <w:r w:rsidR="00186C25">
        <w:t xml:space="preserve">into the text </w:t>
      </w:r>
      <w:r w:rsidRPr="00833A10">
        <w:t>or deleted</w:t>
      </w:r>
      <w:r w:rsidR="00186C25">
        <w:t xml:space="preserve"> </w:t>
      </w:r>
      <w:r w:rsidR="00A74935">
        <w:t>entirely</w:t>
      </w:r>
      <w:r w:rsidR="00A74935" w:rsidRPr="00833A10">
        <w:t xml:space="preserve"> </w:t>
      </w:r>
      <w:r w:rsidRPr="00833A10">
        <w:t xml:space="preserve">in the final edit of </w:t>
      </w:r>
      <w:r w:rsidR="00162DB3" w:rsidRPr="00833A10">
        <w:t>th</w:t>
      </w:r>
      <w:r w:rsidR="00162DB3">
        <w:t>is</w:t>
      </w:r>
      <w:r w:rsidR="00162DB3" w:rsidRPr="00833A10">
        <w:t xml:space="preserve"> </w:t>
      </w:r>
      <w:r w:rsidRPr="00833A10">
        <w:t xml:space="preserve">Section. </w:t>
      </w:r>
      <w:r w:rsidR="00D37C33">
        <w:t xml:space="preserve"> Another resource is the </w:t>
      </w:r>
      <w:r w:rsidR="00D37C33" w:rsidRPr="00E122DC">
        <w:t xml:space="preserve">IAQ Compliance Table, </w:t>
      </w:r>
      <w:r w:rsidR="00537BDB" w:rsidRPr="00537BDB">
        <w:t xml:space="preserve">which is </w:t>
      </w:r>
      <w:r w:rsidR="00537BDB">
        <w:t xml:space="preserve">displayed at the end of this document </w:t>
      </w:r>
      <w:r w:rsidR="00537BDB">
        <w:t xml:space="preserve">and is </w:t>
      </w:r>
      <w:r w:rsidR="00537BDB" w:rsidRPr="00537BDB">
        <w:t>available for download in Excel format at the NZERFT website</w:t>
      </w:r>
      <w:r w:rsidR="00537BDB" w:rsidRPr="00537BDB">
        <w:t xml:space="preserve"> at www.nist.gov</w:t>
      </w:r>
      <w:r w:rsidR="00537BDB" w:rsidRPr="00537BDB">
        <w:t>.</w:t>
      </w:r>
      <w:r w:rsidR="00537BDB" w:rsidRPr="00E122DC">
        <w:t xml:space="preserve"> </w:t>
      </w:r>
      <w:r w:rsidR="00D37C33" w:rsidRPr="00E122DC">
        <w:t xml:space="preserve">This table provides a simple checklist </w:t>
      </w:r>
      <w:r w:rsidR="004769E7" w:rsidRPr="00E122DC">
        <w:t xml:space="preserve">and tracking </w:t>
      </w:r>
      <w:r w:rsidR="00186C25" w:rsidRPr="00E122DC">
        <w:t xml:space="preserve">tool </w:t>
      </w:r>
      <w:r w:rsidR="00A74935" w:rsidRPr="00E122DC">
        <w:t>for IAQ specifications</w:t>
      </w:r>
      <w:r w:rsidR="00D37C33" w:rsidRPr="00E122DC">
        <w:t>.</w:t>
      </w:r>
    </w:p>
    <w:p w14:paraId="5DB0BEA0" w14:textId="77777777" w:rsidR="00873967" w:rsidRDefault="00873967" w:rsidP="007867D5">
      <w:pPr>
        <w:pStyle w:val="CMT"/>
      </w:pPr>
      <w:r w:rsidRPr="00E122DC">
        <w:t xml:space="preserve">In addition, there is a Sustainability Template </w:t>
      </w:r>
      <w:r w:rsidR="002263A4" w:rsidRPr="00E122DC">
        <w:t>that</w:t>
      </w:r>
      <w:r w:rsidRPr="00E122DC">
        <w:t xml:space="preserve"> provides instructions to the specification writer on how to coordinate and edit the specification technical </w:t>
      </w:r>
      <w:r w:rsidR="002263A4" w:rsidRPr="00E122DC">
        <w:t xml:space="preserve">Sections </w:t>
      </w:r>
      <w:r w:rsidRPr="00E122DC">
        <w:t xml:space="preserve">with this Division 01 </w:t>
      </w:r>
      <w:r w:rsidR="002263A4" w:rsidRPr="00E122DC">
        <w:t xml:space="preserve">IAQ </w:t>
      </w:r>
      <w:r w:rsidRPr="00E122DC">
        <w:t>section. Suggested</w:t>
      </w:r>
      <w:r w:rsidRPr="00833A10">
        <w:t xml:space="preserve"> paragraphs are proposed for insertion into the </w:t>
      </w:r>
      <w:r w:rsidR="00162DB3">
        <w:t>T</w:t>
      </w:r>
      <w:r w:rsidR="00162DB3" w:rsidRPr="00833A10">
        <w:t xml:space="preserve">echnical </w:t>
      </w:r>
      <w:r w:rsidR="00162DB3">
        <w:t>S</w:t>
      </w:r>
      <w:r w:rsidR="00162DB3" w:rsidRPr="00833A10">
        <w:t xml:space="preserve">pecification </w:t>
      </w:r>
      <w:r w:rsidRPr="00833A10">
        <w:t xml:space="preserve">Sections. </w:t>
      </w:r>
    </w:p>
    <w:p w14:paraId="608DF9CF" w14:textId="77777777" w:rsidR="00172A06" w:rsidRPr="00833A10" w:rsidRDefault="00172A06" w:rsidP="007867D5">
      <w:pPr>
        <w:pStyle w:val="CMT"/>
      </w:pPr>
      <w:r>
        <w:t xml:space="preserve">Delete Editor’s Notes after </w:t>
      </w:r>
      <w:r w:rsidR="002263A4">
        <w:t xml:space="preserve">the </w:t>
      </w:r>
      <w:r>
        <w:t xml:space="preserve">editing of </w:t>
      </w:r>
      <w:r w:rsidR="00162DB3">
        <w:t xml:space="preserve">this Specification </w:t>
      </w:r>
      <w:r>
        <w:t>Section is complete.</w:t>
      </w:r>
    </w:p>
    <w:p w14:paraId="644ED656" w14:textId="77777777" w:rsidR="00247ADF" w:rsidRDefault="00247ADF" w:rsidP="007867D5">
      <w:pPr>
        <w:pStyle w:val="PRT"/>
        <w:numPr>
          <w:ilvl w:val="0"/>
          <w:numId w:val="18"/>
        </w:numPr>
      </w:pPr>
      <w:r>
        <w:t>GENERAL</w:t>
      </w:r>
    </w:p>
    <w:p w14:paraId="3F819B9A" w14:textId="77777777" w:rsidR="004769E7" w:rsidRDefault="004769E7" w:rsidP="007867D5">
      <w:pPr>
        <w:pStyle w:val="CMT"/>
      </w:pPr>
      <w:r>
        <w:t>Editor’s Note:  Retain the following Article if this Section is included within a full Project Manual</w:t>
      </w:r>
      <w:r w:rsidR="00B75ACA">
        <w:t xml:space="preserve"> and this Article is included in all Sections</w:t>
      </w:r>
      <w:r>
        <w:t>, otherwise delete</w:t>
      </w:r>
      <w:r w:rsidR="000E0E8B">
        <w:t xml:space="preserve"> </w:t>
      </w:r>
      <w:r w:rsidR="00162DB3">
        <w:t>it</w:t>
      </w:r>
      <w:r>
        <w:t>.</w:t>
      </w:r>
    </w:p>
    <w:p w14:paraId="6A3B2E2C" w14:textId="77777777" w:rsidR="00247ADF" w:rsidRDefault="00247ADF" w:rsidP="007867D5">
      <w:pPr>
        <w:pStyle w:val="ART"/>
      </w:pPr>
      <w:r>
        <w:t>RELATED DOCUMENTS</w:t>
      </w:r>
      <w:r w:rsidR="00172A06">
        <w:t xml:space="preserve">  </w:t>
      </w:r>
    </w:p>
    <w:p w14:paraId="7B6735E8" w14:textId="77777777" w:rsidR="00247ADF" w:rsidRDefault="00247ADF" w:rsidP="007867D5">
      <w:pPr>
        <w:pStyle w:val="PR1"/>
      </w:pPr>
      <w:r>
        <w:t>Drawings and general provisions of the Contract, including General and Supplementary Conditions and</w:t>
      </w:r>
      <w:r w:rsidR="00B75ACA">
        <w:t xml:space="preserve"> other</w:t>
      </w:r>
      <w:r>
        <w:t xml:space="preserve"> </w:t>
      </w:r>
      <w:r w:rsidR="00CC2BF1">
        <w:t xml:space="preserve">Division </w:t>
      </w:r>
      <w:r>
        <w:t>01 Specification Sections, apply to this Section.</w:t>
      </w:r>
    </w:p>
    <w:p w14:paraId="418C0303" w14:textId="77777777" w:rsidR="00247ADF" w:rsidRDefault="00247ADF" w:rsidP="007867D5">
      <w:pPr>
        <w:pStyle w:val="ART"/>
      </w:pPr>
      <w:r>
        <w:t>SUMMARY</w:t>
      </w:r>
    </w:p>
    <w:p w14:paraId="335C5C23" w14:textId="6D89773E" w:rsidR="00247ADF" w:rsidRDefault="00447F0F" w:rsidP="007867D5">
      <w:pPr>
        <w:pStyle w:val="PR1"/>
      </w:pPr>
      <w:r>
        <w:t xml:space="preserve">Section includes administrative and procedural requirements governing </w:t>
      </w:r>
      <w:r w:rsidR="00CC2BF1">
        <w:t xml:space="preserve">specifications for </w:t>
      </w:r>
      <w:r w:rsidR="00DB7043">
        <w:t xml:space="preserve">achieving </w:t>
      </w:r>
      <w:r>
        <w:t>indoor air quality</w:t>
      </w:r>
      <w:r w:rsidR="00EC1786">
        <w:t xml:space="preserve"> (IAQ)</w:t>
      </w:r>
      <w:r w:rsidR="00DB7043">
        <w:t xml:space="preserve"> objectives for the project</w:t>
      </w:r>
      <w:r w:rsidR="00247ADF">
        <w:t>.</w:t>
      </w:r>
    </w:p>
    <w:p w14:paraId="79478094" w14:textId="0158A41C" w:rsidR="002B63A5" w:rsidRDefault="00EC1786" w:rsidP="007867D5">
      <w:pPr>
        <w:pStyle w:val="PR2"/>
      </w:pPr>
      <w:r>
        <w:t xml:space="preserve">General:  </w:t>
      </w:r>
      <w:r w:rsidR="00FA4E3B">
        <w:t>Interior construction assemblies,</w:t>
      </w:r>
      <w:r w:rsidR="009128E4">
        <w:t xml:space="preserve"> systems,</w:t>
      </w:r>
      <w:r w:rsidR="00FA4E3B">
        <w:t xml:space="preserve"> materials, products and</w:t>
      </w:r>
      <w:r w:rsidR="003E415D" w:rsidRPr="00191FCF">
        <w:t xml:space="preserve"> finishes, including </w:t>
      </w:r>
      <w:r w:rsidR="00FA4E3B">
        <w:t xml:space="preserve">but not limited to: insulation, </w:t>
      </w:r>
      <w:r w:rsidR="003E415D" w:rsidRPr="00191FCF">
        <w:t>partitions</w:t>
      </w:r>
      <w:r w:rsidR="00FA4E3B">
        <w:t xml:space="preserve">, </w:t>
      </w:r>
      <w:r w:rsidR="003E415D" w:rsidRPr="00191FCF">
        <w:t>partition coverings, flooring, floor coverings, wall covering</w:t>
      </w:r>
      <w:r w:rsidR="00CC2BF1">
        <w:t>s</w:t>
      </w:r>
      <w:r w:rsidR="003E415D" w:rsidRPr="00191FCF">
        <w:t xml:space="preserve">, ceiling </w:t>
      </w:r>
      <w:r w:rsidR="009128E4">
        <w:t>finishes</w:t>
      </w:r>
      <w:r w:rsidR="003E415D" w:rsidRPr="00191FCF">
        <w:t xml:space="preserve">, adhesives, sealants, glazing, paints, casework and similar materials shall be manufactured, handled, and installed in such a manner to </w:t>
      </w:r>
      <w:r w:rsidR="00DB7043">
        <w:t>reduce health and comfort (including odor) effects on building occupants</w:t>
      </w:r>
      <w:r w:rsidR="003E415D">
        <w:t>.</w:t>
      </w:r>
      <w:r w:rsidR="00CD3797">
        <w:t xml:space="preserve"> </w:t>
      </w:r>
    </w:p>
    <w:p w14:paraId="471CB41D" w14:textId="47AD391C" w:rsidR="00E246B7" w:rsidRDefault="00E246B7" w:rsidP="007867D5">
      <w:pPr>
        <w:pStyle w:val="PR2"/>
      </w:pPr>
      <w:r>
        <w:t xml:space="preserve">The requirements of this Section </w:t>
      </w:r>
      <w:r w:rsidR="007468E6">
        <w:t xml:space="preserve">relate </w:t>
      </w:r>
      <w:r>
        <w:t xml:space="preserve">to </w:t>
      </w:r>
      <w:r w:rsidR="007468E6">
        <w:t>both site-</w:t>
      </w:r>
      <w:r>
        <w:t xml:space="preserve">applied and shop fabricated </w:t>
      </w:r>
      <w:r w:rsidR="00CC2BF1">
        <w:t xml:space="preserve">materials and </w:t>
      </w:r>
      <w:r>
        <w:t>products.</w:t>
      </w:r>
    </w:p>
    <w:p w14:paraId="33368A3D" w14:textId="77777777" w:rsidR="00167302" w:rsidRPr="00167302" w:rsidRDefault="00167302" w:rsidP="007867D5">
      <w:pPr>
        <w:pStyle w:val="ART"/>
      </w:pPr>
      <w:r w:rsidRPr="00167302">
        <w:t>MEETING</w:t>
      </w:r>
      <w:r w:rsidR="00A93B52">
        <w:t xml:space="preserve"> REQUIREMENT</w:t>
      </w:r>
      <w:r w:rsidRPr="00167302">
        <w:t>S</w:t>
      </w:r>
      <w:r w:rsidR="002B63A5">
        <w:t xml:space="preserve">  </w:t>
      </w:r>
    </w:p>
    <w:p w14:paraId="4E62077F" w14:textId="77777777" w:rsidR="00833A10" w:rsidRDefault="00833A10" w:rsidP="007867D5">
      <w:pPr>
        <w:pStyle w:val="PR1"/>
      </w:pPr>
      <w:r>
        <w:t>General:  Include Owner, Contractor, Architect and relevant subcontractors in IAQ meetings.</w:t>
      </w:r>
    </w:p>
    <w:p w14:paraId="21C67BF7" w14:textId="32D1CB7C" w:rsidR="00167302" w:rsidRPr="00A93B52" w:rsidRDefault="00A93B52" w:rsidP="007867D5">
      <w:pPr>
        <w:pStyle w:val="PR1"/>
      </w:pPr>
      <w:r>
        <w:lastRenderedPageBreak/>
        <w:t>Preconstruction</w:t>
      </w:r>
      <w:r w:rsidR="00167302">
        <w:t xml:space="preserve"> Conference:</w:t>
      </w:r>
      <w:r w:rsidR="00F67577">
        <w:t xml:space="preserve"> </w:t>
      </w:r>
      <w:r w:rsidR="00C23B4E">
        <w:t xml:space="preserve"> </w:t>
      </w:r>
      <w:r w:rsidR="003A1A5F">
        <w:t xml:space="preserve">Include IAQ in the agenda of the Preconstruction Conference </w:t>
      </w:r>
      <w:r w:rsidR="002B63A5">
        <w:t>at</w:t>
      </w:r>
      <w:r w:rsidR="002B63A5" w:rsidRPr="004D3838">
        <w:rPr>
          <w:bCs/>
        </w:rPr>
        <w:t xml:space="preserve"> </w:t>
      </w:r>
      <w:r w:rsidR="00167302" w:rsidRPr="004D3838">
        <w:rPr>
          <w:bCs/>
        </w:rPr>
        <w:t>Project sit</w:t>
      </w:r>
      <w:r w:rsidR="00167302" w:rsidRPr="002B63A5">
        <w:rPr>
          <w:bCs/>
        </w:rPr>
        <w:t>e</w:t>
      </w:r>
      <w:r w:rsidR="00806615">
        <w:rPr>
          <w:bCs/>
        </w:rPr>
        <w:t xml:space="preserve"> prior to start of construction</w:t>
      </w:r>
      <w:r w:rsidR="00744505">
        <w:rPr>
          <w:bCs/>
        </w:rPr>
        <w:t>. R</w:t>
      </w:r>
      <w:r w:rsidR="00E246B7">
        <w:t xml:space="preserve">eview IAQ requirements </w:t>
      </w:r>
      <w:r w:rsidR="002B63A5">
        <w:t>for</w:t>
      </w:r>
      <w:r w:rsidR="002B63A5" w:rsidRPr="004D3838">
        <w:rPr>
          <w:b/>
        </w:rPr>
        <w:t xml:space="preserve"> </w:t>
      </w:r>
      <w:r w:rsidR="00913EC6" w:rsidRPr="004D3838">
        <w:t xml:space="preserve">interior </w:t>
      </w:r>
      <w:r>
        <w:t xml:space="preserve">assemblies, </w:t>
      </w:r>
      <w:r w:rsidR="00C23B4E">
        <w:t xml:space="preserve">materials, </w:t>
      </w:r>
      <w:r>
        <w:t xml:space="preserve">products and </w:t>
      </w:r>
      <w:r w:rsidR="00913EC6" w:rsidRPr="004D3838">
        <w:t>finishes</w:t>
      </w:r>
      <w:r w:rsidR="00913EC6">
        <w:rPr>
          <w:color w:val="FF0000"/>
        </w:rPr>
        <w:t>.</w:t>
      </w:r>
    </w:p>
    <w:p w14:paraId="568E6AA0" w14:textId="346463B9" w:rsidR="00A93B52" w:rsidRDefault="00806615" w:rsidP="007867D5">
      <w:pPr>
        <w:pStyle w:val="PR1"/>
      </w:pPr>
      <w:r>
        <w:t xml:space="preserve">Project Meetings:  Include an update </w:t>
      </w:r>
      <w:r w:rsidR="0021555B">
        <w:t xml:space="preserve">on the status of </w:t>
      </w:r>
      <w:r>
        <w:t>IAQ requirement</w:t>
      </w:r>
      <w:r w:rsidR="002F58F6">
        <w:t>s</w:t>
      </w:r>
      <w:r>
        <w:t xml:space="preserve"> at each regularly scheduled </w:t>
      </w:r>
      <w:r w:rsidR="00E122DC">
        <w:t>meeting as needed</w:t>
      </w:r>
      <w:r>
        <w:t>.</w:t>
      </w:r>
    </w:p>
    <w:p w14:paraId="309D694C" w14:textId="77777777" w:rsidR="006A4A5A" w:rsidRDefault="006A4A5A" w:rsidP="007867D5">
      <w:pPr>
        <w:pStyle w:val="ART"/>
      </w:pPr>
      <w:r>
        <w:t>SUBMITTALS</w:t>
      </w:r>
    </w:p>
    <w:p w14:paraId="21DD550A" w14:textId="77777777" w:rsidR="006A4A5A" w:rsidRPr="006A4A5A" w:rsidRDefault="006A4A5A" w:rsidP="007867D5">
      <w:pPr>
        <w:pStyle w:val="PR1"/>
      </w:pPr>
      <w:r>
        <w:t>General:</w:t>
      </w:r>
      <w:r w:rsidR="00806615">
        <w:t xml:space="preserve">  </w:t>
      </w:r>
      <w:r w:rsidR="00EC1786">
        <w:t xml:space="preserve">Coordinate IAQ submittals with </w:t>
      </w:r>
      <w:r w:rsidR="001E4DA3">
        <w:t xml:space="preserve">other </w:t>
      </w:r>
      <w:r w:rsidR="00EC1786">
        <w:t xml:space="preserve">submittal requirements specified in the </w:t>
      </w:r>
      <w:r w:rsidR="00162DB3">
        <w:t xml:space="preserve">Technical Specification </w:t>
      </w:r>
      <w:r w:rsidR="00EC1786">
        <w:t xml:space="preserve">Sections, including material descriptions, </w:t>
      </w:r>
      <w:r w:rsidR="001E4DA3">
        <w:t xml:space="preserve">product characteristics, </w:t>
      </w:r>
      <w:r w:rsidR="00EC1786">
        <w:t>and finishes; include IAQ data on furnished specialties and accessories</w:t>
      </w:r>
      <w:r w:rsidRPr="00806615">
        <w:rPr>
          <w:szCs w:val="22"/>
        </w:rPr>
        <w:t>.</w:t>
      </w:r>
    </w:p>
    <w:p w14:paraId="43141E99" w14:textId="7CDC4038" w:rsidR="00B30AFF" w:rsidRDefault="00B30AFF" w:rsidP="007867D5">
      <w:pPr>
        <w:pStyle w:val="PR1"/>
      </w:pPr>
      <w:r>
        <w:t xml:space="preserve">IAQ </w:t>
      </w:r>
      <w:r w:rsidR="00247ADF">
        <w:t>Product Data</w:t>
      </w:r>
      <w:r w:rsidR="00DA5C41">
        <w:t>, General</w:t>
      </w:r>
      <w:r w:rsidR="00247ADF">
        <w:t>:</w:t>
      </w:r>
      <w:r w:rsidR="00F67577">
        <w:t xml:space="preserve"> </w:t>
      </w:r>
      <w:r w:rsidR="00C23B4E">
        <w:t xml:space="preserve"> </w:t>
      </w:r>
      <w:r w:rsidR="00247ADF">
        <w:t xml:space="preserve">For each type of </w:t>
      </w:r>
      <w:r>
        <w:t xml:space="preserve">material </w:t>
      </w:r>
      <w:r w:rsidR="00C23B4E">
        <w:t xml:space="preserve">and product </w:t>
      </w:r>
      <w:r w:rsidR="00A43ADF">
        <w:t xml:space="preserve">listed below that is </w:t>
      </w:r>
      <w:r>
        <w:t xml:space="preserve">used </w:t>
      </w:r>
      <w:r w:rsidR="005415FD">
        <w:t xml:space="preserve">interior to the exterior </w:t>
      </w:r>
      <w:r w:rsidR="006F3985">
        <w:t>waterproofing membrane</w:t>
      </w:r>
      <w:r w:rsidR="00806615">
        <w:t>, p</w:t>
      </w:r>
      <w:r>
        <w:t xml:space="preserve">rovide </w:t>
      </w:r>
      <w:r w:rsidR="00211D5C">
        <w:t xml:space="preserve">the following </w:t>
      </w:r>
      <w:r>
        <w:t>IAQ Product Data:</w:t>
      </w:r>
    </w:p>
    <w:p w14:paraId="75E6B5BC" w14:textId="77777777" w:rsidR="00865FB8" w:rsidRPr="00FC249E" w:rsidRDefault="00605868" w:rsidP="007867D5">
      <w:pPr>
        <w:pStyle w:val="PR2"/>
      </w:pPr>
      <w:r>
        <w:t xml:space="preserve">VOC Content </w:t>
      </w:r>
      <w:r w:rsidR="00FC249E">
        <w:t>of</w:t>
      </w:r>
      <w:r>
        <w:t xml:space="preserve"> Paints and Coatings:  </w:t>
      </w:r>
      <w:r w:rsidR="005E79A7">
        <w:t xml:space="preserve">Product data indicating </w:t>
      </w:r>
      <w:r w:rsidR="00FC249E">
        <w:t>Volatile Orga</w:t>
      </w:r>
      <w:r w:rsidR="000A03D7">
        <w:t>nic Compound (VOC) content in g</w:t>
      </w:r>
      <w:r w:rsidR="00FC249E">
        <w:t>rams per Liter (g/L).  Options:</w:t>
      </w:r>
    </w:p>
    <w:p w14:paraId="2ED6EB8D" w14:textId="77777777" w:rsidR="00FC249E" w:rsidRDefault="00FC249E" w:rsidP="007867D5">
      <w:pPr>
        <w:pStyle w:val="PR3"/>
      </w:pPr>
      <w:r>
        <w:t>Manufacturer’s Technical Data Sheet, or</w:t>
      </w:r>
    </w:p>
    <w:p w14:paraId="06175C9D" w14:textId="77777777" w:rsidR="00FC249E" w:rsidRPr="00865FB8" w:rsidRDefault="00FC249E" w:rsidP="007867D5">
      <w:pPr>
        <w:pStyle w:val="PR3"/>
      </w:pPr>
      <w:r>
        <w:t>Copy of product label.</w:t>
      </w:r>
    </w:p>
    <w:p w14:paraId="4948A516" w14:textId="77777777" w:rsidR="00865FB8" w:rsidRPr="000A03D7" w:rsidRDefault="00FC249E" w:rsidP="007867D5">
      <w:pPr>
        <w:pStyle w:val="PR2"/>
      </w:pPr>
      <w:r>
        <w:t xml:space="preserve">VOC Content for Adhesives and Sealants:  </w:t>
      </w:r>
      <w:r w:rsidR="005E79A7">
        <w:t>Product data indicating</w:t>
      </w:r>
      <w:r w:rsidR="000A03D7">
        <w:t xml:space="preserve"> Volatile Organic Compound (VOC) content in grams per Liter (g/L).  Options:</w:t>
      </w:r>
    </w:p>
    <w:p w14:paraId="02F223B9" w14:textId="77777777" w:rsidR="000A03D7" w:rsidRDefault="000A03D7" w:rsidP="007867D5">
      <w:pPr>
        <w:pStyle w:val="PR3"/>
      </w:pPr>
      <w:r>
        <w:t>Manufacturer’s Technical Data Sheet, or</w:t>
      </w:r>
    </w:p>
    <w:p w14:paraId="1E5124CF" w14:textId="77777777" w:rsidR="000A03D7" w:rsidRPr="00865FB8" w:rsidRDefault="000A03D7" w:rsidP="007867D5">
      <w:pPr>
        <w:pStyle w:val="PR3"/>
      </w:pPr>
      <w:r>
        <w:t>Copy of product label.</w:t>
      </w:r>
    </w:p>
    <w:p w14:paraId="29FDE04F" w14:textId="77777777" w:rsidR="00211D5C" w:rsidRDefault="00830F13" w:rsidP="007867D5">
      <w:pPr>
        <w:pStyle w:val="PR2"/>
      </w:pPr>
      <w:r>
        <w:t>Formaldehyde</w:t>
      </w:r>
      <w:r w:rsidR="000A2FBB">
        <w:t xml:space="preserve"> Content</w:t>
      </w:r>
      <w:r w:rsidR="00B17FF5">
        <w:t xml:space="preserve">: </w:t>
      </w:r>
      <w:r>
        <w:t xml:space="preserve"> </w:t>
      </w:r>
    </w:p>
    <w:p w14:paraId="0B930FA5" w14:textId="77777777" w:rsidR="00211D5C" w:rsidRDefault="00211D5C" w:rsidP="007867D5">
      <w:pPr>
        <w:pStyle w:val="PR3"/>
      </w:pPr>
      <w:r>
        <w:t xml:space="preserve">Composite Wood and Agrifiber Products:  </w:t>
      </w:r>
      <w:r w:rsidR="00D03904">
        <w:t>Product data indicating</w:t>
      </w:r>
      <w:r w:rsidR="00D06F6D">
        <w:t xml:space="preserve"> </w:t>
      </w:r>
      <w:r w:rsidR="00CB581D">
        <w:t xml:space="preserve">No </w:t>
      </w:r>
      <w:r w:rsidR="00B17FF5">
        <w:t>Added Formaldehyde (NAF) resin system for composite wood</w:t>
      </w:r>
      <w:r>
        <w:t xml:space="preserve"> and agrifiber products</w:t>
      </w:r>
      <w:r w:rsidR="00D06F6D">
        <w:t xml:space="preserve"> from options </w:t>
      </w:r>
      <w:r w:rsidR="006F793F">
        <w:t xml:space="preserve">listed </w:t>
      </w:r>
      <w:r w:rsidR="00D06F6D">
        <w:t>below</w:t>
      </w:r>
      <w:r>
        <w:t>.</w:t>
      </w:r>
    </w:p>
    <w:p w14:paraId="23CBD15C" w14:textId="58E2C8AE" w:rsidR="00710131" w:rsidRDefault="00211D5C" w:rsidP="007867D5">
      <w:pPr>
        <w:pStyle w:val="PR3"/>
      </w:pPr>
      <w:r>
        <w:t xml:space="preserve">Insulation:  </w:t>
      </w:r>
      <w:r w:rsidR="009E2D5D">
        <w:t>D</w:t>
      </w:r>
      <w:r>
        <w:t xml:space="preserve">ata for each </w:t>
      </w:r>
      <w:r w:rsidR="00347E4E">
        <w:t xml:space="preserve">batt, blanket and wet-spray </w:t>
      </w:r>
      <w:r w:rsidR="009E2D5D">
        <w:t xml:space="preserve">insulation </w:t>
      </w:r>
      <w:r>
        <w:t xml:space="preserve">product indicating binder </w:t>
      </w:r>
      <w:r w:rsidR="00D03904">
        <w:t>is not</w:t>
      </w:r>
      <w:r>
        <w:t xml:space="preserve"> formaldehyde</w:t>
      </w:r>
      <w:r w:rsidR="00D03904">
        <w:t xml:space="preserve"> based</w:t>
      </w:r>
      <w:r w:rsidR="00B17FF5">
        <w:t>.</w:t>
      </w:r>
      <w:r w:rsidR="00347E4E">
        <w:t xml:space="preserve">  Data for spray-in-place insulation showing product is not formed by reacting an amine chemical group with formaldehyde.</w:t>
      </w:r>
    </w:p>
    <w:p w14:paraId="5D2B7489" w14:textId="77777777" w:rsidR="00710131" w:rsidRDefault="005E79A7" w:rsidP="007867D5">
      <w:pPr>
        <w:pStyle w:val="PR2"/>
      </w:pPr>
      <w:r>
        <w:t xml:space="preserve">Product Data for </w:t>
      </w:r>
      <w:r w:rsidR="00710131">
        <w:t xml:space="preserve">Carpet </w:t>
      </w:r>
      <w:r w:rsidR="00397849">
        <w:t>Systems</w:t>
      </w:r>
      <w:r w:rsidR="00710131">
        <w:t>:</w:t>
      </w:r>
    </w:p>
    <w:p w14:paraId="67229BDC" w14:textId="24799E3E" w:rsidR="00710131" w:rsidRDefault="00710131" w:rsidP="007867D5">
      <w:pPr>
        <w:pStyle w:val="PR3"/>
      </w:pPr>
      <w:r>
        <w:t>For carpet and carpet cushion, documentation indicating compliance with testing requirements of CRI's</w:t>
      </w:r>
      <w:r w:rsidR="00E3495B">
        <w:t xml:space="preserve"> (Carpet and Rug Institute)</w:t>
      </w:r>
      <w:r>
        <w:t xml:space="preserve"> "Green Label Plus" program.</w:t>
      </w:r>
      <w:r w:rsidR="00CB581D">
        <w:t xml:space="preserve"> </w:t>
      </w:r>
      <w:bookmarkStart w:id="3" w:name="OLE_LINK5"/>
      <w:bookmarkStart w:id="4" w:name="OLE_LINK6"/>
      <w:r w:rsidR="00D03904">
        <w:t>If alternative</w:t>
      </w:r>
      <w:r w:rsidR="00CB581D">
        <w:t xml:space="preserve"> </w:t>
      </w:r>
      <w:r w:rsidR="005D16CC">
        <w:t>test</w:t>
      </w:r>
      <w:r w:rsidR="00D03904">
        <w:t>ing</w:t>
      </w:r>
      <w:r w:rsidR="005D16CC">
        <w:t xml:space="preserve"> by CDPH</w:t>
      </w:r>
      <w:r w:rsidR="00E3495B">
        <w:t xml:space="preserve"> (California Department of Public Health)</w:t>
      </w:r>
      <w:r w:rsidR="005D16CC">
        <w:t xml:space="preserve"> Standard Method V1.1</w:t>
      </w:r>
      <w:r w:rsidR="00D03904">
        <w:t xml:space="preserve"> is used, </w:t>
      </w:r>
      <w:r w:rsidR="00A8239F">
        <w:t>provide documentation as specified in</w:t>
      </w:r>
      <w:r w:rsidR="00CB581D">
        <w:t xml:space="preserve"> Section C below. </w:t>
      </w:r>
      <w:bookmarkEnd w:id="3"/>
      <w:bookmarkEnd w:id="4"/>
    </w:p>
    <w:p w14:paraId="35C23CEF" w14:textId="77777777" w:rsidR="00710131" w:rsidRDefault="00710131" w:rsidP="007867D5">
      <w:pPr>
        <w:pStyle w:val="PR3"/>
      </w:pPr>
      <w:r>
        <w:t xml:space="preserve">For installation adhesive, </w:t>
      </w:r>
      <w:r w:rsidR="00CB581D">
        <w:t>documentation</w:t>
      </w:r>
      <w:r>
        <w:t xml:space="preserve"> of VOC content</w:t>
      </w:r>
      <w:r w:rsidR="00CB581D">
        <w:t xml:space="preserve"> in g/L</w:t>
      </w:r>
      <w:r>
        <w:t>.</w:t>
      </w:r>
    </w:p>
    <w:p w14:paraId="77A879E2" w14:textId="56ED910D" w:rsidR="00830F13" w:rsidRDefault="00B3310E" w:rsidP="007867D5">
      <w:pPr>
        <w:pStyle w:val="PR3"/>
      </w:pPr>
      <w:r>
        <w:t>NSF/</w:t>
      </w:r>
      <w:r w:rsidR="00710131">
        <w:t>ANSI 140</w:t>
      </w:r>
      <w:r>
        <w:t xml:space="preserve"> Sustainability Assessment for Carpet</w:t>
      </w:r>
      <w:r w:rsidR="00710131">
        <w:t xml:space="preserve">:  </w:t>
      </w:r>
      <w:r>
        <w:t>Documentation indicating certified conformance level</w:t>
      </w:r>
      <w:r w:rsidR="0077140D">
        <w:t xml:space="preserve"> for </w:t>
      </w:r>
      <w:r w:rsidR="009E2D5D">
        <w:t>broadloom and carpet tile products</w:t>
      </w:r>
      <w:r w:rsidR="00710131">
        <w:t>.</w:t>
      </w:r>
      <w:r w:rsidR="00830F13">
        <w:t xml:space="preserve"> </w:t>
      </w:r>
    </w:p>
    <w:p w14:paraId="1558C3DF" w14:textId="35781EC0" w:rsidR="007442B2" w:rsidRDefault="00B8594B" w:rsidP="007867D5">
      <w:pPr>
        <w:pStyle w:val="PR2"/>
      </w:pPr>
      <w:r>
        <w:t xml:space="preserve">Product </w:t>
      </w:r>
      <w:r w:rsidR="00CB581D">
        <w:t xml:space="preserve">Data </w:t>
      </w:r>
      <w:r>
        <w:t>for Resilient</w:t>
      </w:r>
      <w:r w:rsidR="00BB2638">
        <w:t xml:space="preserve"> an</w:t>
      </w:r>
      <w:r w:rsidR="004E64FE">
        <w:t>d</w:t>
      </w:r>
      <w:r w:rsidR="00BB2638">
        <w:t xml:space="preserve"> </w:t>
      </w:r>
      <w:r w:rsidR="004E64FE">
        <w:t>Tile</w:t>
      </w:r>
      <w:r>
        <w:t xml:space="preserve"> Flooring and Flooring Adhesives:  Documentation indicating compliance with </w:t>
      </w:r>
      <w:r w:rsidR="00CB581D">
        <w:t xml:space="preserve">testing requirements of </w:t>
      </w:r>
      <w:r>
        <w:t>Resilient Floor Covering Institute (RFCI) FloorScore</w:t>
      </w:r>
      <w:r w:rsidR="00744505">
        <w:t>™</w:t>
      </w:r>
      <w:r>
        <w:t xml:space="preserve"> </w:t>
      </w:r>
      <w:r w:rsidR="00CB581D">
        <w:t>program</w:t>
      </w:r>
      <w:r>
        <w:t>.</w:t>
      </w:r>
      <w:r w:rsidR="00A8239F">
        <w:t xml:space="preserve"> </w:t>
      </w:r>
      <w:r w:rsidR="007442B2">
        <w:t>If alternative testing by CDPH Standard Method V1.1 is used, provide documentation as specified in Section C below.</w:t>
      </w:r>
      <w:r w:rsidR="00A8239F">
        <w:t xml:space="preserve"> </w:t>
      </w:r>
    </w:p>
    <w:p w14:paraId="095F03BA" w14:textId="2A165F39" w:rsidR="00865FB8" w:rsidRPr="00DA5C41" w:rsidRDefault="00830F13" w:rsidP="007867D5">
      <w:pPr>
        <w:pStyle w:val="PR2"/>
      </w:pPr>
      <w:r>
        <w:t xml:space="preserve">Cleaning Products:  </w:t>
      </w:r>
      <w:r w:rsidR="00833A10">
        <w:t xml:space="preserve">Provide </w:t>
      </w:r>
      <w:r w:rsidR="00AD155C">
        <w:t xml:space="preserve">data </w:t>
      </w:r>
      <w:r w:rsidR="002272EA">
        <w:t>for c</w:t>
      </w:r>
      <w:r w:rsidR="002272EA" w:rsidRPr="00191FCF">
        <w:t xml:space="preserve">leaning products used during regular construction cleaning and </w:t>
      </w:r>
      <w:r w:rsidR="002272EA">
        <w:t xml:space="preserve">for </w:t>
      </w:r>
      <w:r w:rsidR="002272EA" w:rsidRPr="00191FCF">
        <w:t>final cleaning</w:t>
      </w:r>
      <w:r w:rsidR="002272EA">
        <w:t xml:space="preserve"> </w:t>
      </w:r>
      <w:r>
        <w:t xml:space="preserve">indicating compliance with </w:t>
      </w:r>
      <w:r w:rsidR="00186C25">
        <w:t>st</w:t>
      </w:r>
      <w:r w:rsidR="004E64FE">
        <w:t xml:space="preserve">andards </w:t>
      </w:r>
      <w:r w:rsidR="002272EA">
        <w:t>and programs promoting use of safer ingredients such as U.S. EPA Design for the Environment (DfE) and Green Seal standards GS-37, GS-40 and GS-53.</w:t>
      </w:r>
    </w:p>
    <w:p w14:paraId="1D1EB583" w14:textId="3D64DB9E" w:rsidR="009746D6" w:rsidRDefault="009E2D5D" w:rsidP="007867D5">
      <w:pPr>
        <w:pStyle w:val="PR1"/>
      </w:pPr>
      <w:r>
        <w:lastRenderedPageBreak/>
        <w:t xml:space="preserve">IAQ </w:t>
      </w:r>
      <w:r w:rsidR="002A70EF" w:rsidRPr="00FB0020">
        <w:t>Emission Test Data and Certifications</w:t>
      </w:r>
      <w:r w:rsidR="009746D6" w:rsidRPr="00FB0020">
        <w:t>:</w:t>
      </w:r>
      <w:r w:rsidR="002A70EF" w:rsidRPr="00FB0020">
        <w:t xml:space="preserve">  The following documentation and certifications are acceptable</w:t>
      </w:r>
      <w:r w:rsidR="000E1DCB">
        <w:t xml:space="preserve"> for each interior product and finish </w:t>
      </w:r>
      <w:r w:rsidR="00A8239F">
        <w:t xml:space="preserve">that are </w:t>
      </w:r>
      <w:r w:rsidR="000E1DCB">
        <w:t xml:space="preserve">required in the </w:t>
      </w:r>
      <w:r w:rsidR="00162DB3">
        <w:t xml:space="preserve">Technical Specification </w:t>
      </w:r>
      <w:r w:rsidR="00877DF8">
        <w:t>S</w:t>
      </w:r>
      <w:r w:rsidR="005D16CC">
        <w:t>ection</w:t>
      </w:r>
      <w:r w:rsidR="00162DB3">
        <w:t>s</w:t>
      </w:r>
      <w:r w:rsidR="000E1DCB">
        <w:t xml:space="preserve"> to be tested for VOC emissions in accordance with </w:t>
      </w:r>
      <w:r w:rsidR="005E79A7" w:rsidRPr="005E79A7">
        <w:rPr>
          <w:color w:val="000000"/>
          <w:szCs w:val="22"/>
        </w:rPr>
        <w:t xml:space="preserve">CDPH Standard Method </w:t>
      </w:r>
      <w:r w:rsidR="00235AFE">
        <w:rPr>
          <w:color w:val="000000"/>
          <w:szCs w:val="22"/>
        </w:rPr>
        <w:t>V</w:t>
      </w:r>
      <w:r w:rsidR="00235AFE" w:rsidRPr="005E79A7">
        <w:rPr>
          <w:color w:val="000000"/>
          <w:szCs w:val="22"/>
        </w:rPr>
        <w:t>1</w:t>
      </w:r>
      <w:r w:rsidR="005E79A7" w:rsidRPr="005E79A7">
        <w:rPr>
          <w:color w:val="000000"/>
          <w:szCs w:val="22"/>
        </w:rPr>
        <w:t>.1</w:t>
      </w:r>
      <w:r w:rsidR="000E1DCB">
        <w:t>:</w:t>
      </w:r>
    </w:p>
    <w:p w14:paraId="3E262C3F" w14:textId="77777777" w:rsidR="007C473D" w:rsidRPr="00FB0020" w:rsidRDefault="007C473D" w:rsidP="007867D5">
      <w:pPr>
        <w:pStyle w:val="PR2"/>
      </w:pPr>
      <w:r>
        <w:t xml:space="preserve">IAQ Test Data, General:  </w:t>
      </w:r>
      <w:r w:rsidR="00F76086">
        <w:t xml:space="preserve">Test report produced by </w:t>
      </w:r>
      <w:r w:rsidR="009B325F">
        <w:t>an</w:t>
      </w:r>
      <w:r w:rsidR="00F76086">
        <w:t xml:space="preserve"> ISO/IEC 17025 accredited laboratory</w:t>
      </w:r>
      <w:r w:rsidR="00877DF8">
        <w:t xml:space="preserve"> showing</w:t>
      </w:r>
      <w:r w:rsidR="00236CE0">
        <w:t xml:space="preserve"> emission factors of emitted VOCs</w:t>
      </w:r>
      <w:r w:rsidR="00877DF8">
        <w:t xml:space="preserve">. Test </w:t>
      </w:r>
      <w:r w:rsidR="00F76086">
        <w:t xml:space="preserve">shall have been conducted within three (3) years of the start date of </w:t>
      </w:r>
      <w:r w:rsidR="00162DB3">
        <w:t xml:space="preserve">Notice to Proceed for or commencement of </w:t>
      </w:r>
      <w:r w:rsidR="00F76086">
        <w:t xml:space="preserve">construction of the project.  </w:t>
      </w:r>
    </w:p>
    <w:p w14:paraId="597C3591" w14:textId="77777777" w:rsidR="002A70EF" w:rsidRPr="00FB0020" w:rsidRDefault="00F76086" w:rsidP="007867D5">
      <w:pPr>
        <w:pStyle w:val="PR2"/>
      </w:pPr>
      <w:r>
        <w:t>Manufacturer’</w:t>
      </w:r>
      <w:r w:rsidR="0052425F">
        <w:t>s Self Declarat</w:t>
      </w:r>
      <w:r>
        <w:t xml:space="preserve">ions:  </w:t>
      </w:r>
      <w:r w:rsidR="00236CE0">
        <w:t>M</w:t>
      </w:r>
      <w:r w:rsidR="0052425F">
        <w:t xml:space="preserve">anufacturer’s </w:t>
      </w:r>
      <w:r w:rsidR="00877DF8">
        <w:t xml:space="preserve">declaration </w:t>
      </w:r>
      <w:r w:rsidR="0052425F">
        <w:t>of compliance</w:t>
      </w:r>
      <w:r w:rsidR="005D16CC">
        <w:t xml:space="preserve"> with CDPH Standard Method V1.1</w:t>
      </w:r>
      <w:r w:rsidR="002A70EF" w:rsidRPr="00FB0020">
        <w:t xml:space="preserve"> based on laboratory testing</w:t>
      </w:r>
      <w:r w:rsidR="0052425F">
        <w:t xml:space="preserve"> as described above</w:t>
      </w:r>
      <w:r w:rsidR="002A70EF" w:rsidRPr="00FB0020">
        <w:t>.</w:t>
      </w:r>
    </w:p>
    <w:p w14:paraId="0D1FDCDC" w14:textId="77777777" w:rsidR="002A70EF" w:rsidRPr="00FB0020" w:rsidRDefault="002A70EF" w:rsidP="007867D5">
      <w:pPr>
        <w:pStyle w:val="PR2"/>
      </w:pPr>
      <w:r w:rsidRPr="00FB0020">
        <w:t xml:space="preserve">Third Party Certifications:  </w:t>
      </w:r>
      <w:r w:rsidR="0052425F">
        <w:t xml:space="preserve">In lieu of </w:t>
      </w:r>
      <w:r w:rsidR="00877DF8">
        <w:t xml:space="preserve">declaration </w:t>
      </w:r>
      <w:r w:rsidR="009B325F">
        <w:t>of compliance</w:t>
      </w:r>
      <w:r w:rsidR="00236CE0">
        <w:t xml:space="preserve"> </w:t>
      </w:r>
      <w:r w:rsidR="00877DF8">
        <w:t xml:space="preserve">by </w:t>
      </w:r>
      <w:r w:rsidR="00236CE0">
        <w:t>the manufacturer</w:t>
      </w:r>
      <w:r w:rsidR="0052425F">
        <w:t xml:space="preserve">, </w:t>
      </w:r>
      <w:r w:rsidRPr="00FB0020">
        <w:t xml:space="preserve">certification </w:t>
      </w:r>
      <w:r w:rsidR="0052425F">
        <w:t xml:space="preserve">of compliance </w:t>
      </w:r>
      <w:r w:rsidR="005D16CC">
        <w:t xml:space="preserve">with CDPH Standard Method V1.1 </w:t>
      </w:r>
      <w:r w:rsidR="0052425F">
        <w:t>mad</w:t>
      </w:r>
      <w:r w:rsidR="00BB2638">
        <w:t>e by a third party, ISO</w:t>
      </w:r>
      <w:r w:rsidR="004E5B83">
        <w:t>/</w:t>
      </w:r>
      <w:r w:rsidR="00BB2638">
        <w:t xml:space="preserve">IEC </w:t>
      </w:r>
      <w:r w:rsidR="00235AFE">
        <w:t xml:space="preserve">17065 </w:t>
      </w:r>
      <w:r w:rsidR="00AB6937">
        <w:t xml:space="preserve">accredited certification body.  </w:t>
      </w:r>
      <w:r w:rsidRPr="00FB0020">
        <w:t xml:space="preserve">  </w:t>
      </w:r>
    </w:p>
    <w:p w14:paraId="1A68ADF4" w14:textId="0F398E03" w:rsidR="00FF274E" w:rsidRPr="00C41760" w:rsidRDefault="00FF274E" w:rsidP="007867D5">
      <w:pPr>
        <w:pStyle w:val="CMT"/>
      </w:pPr>
      <w:r>
        <w:t>Editor’s Note:  Edit following paragraph according to project location</w:t>
      </w:r>
      <w:r w:rsidR="00321DF3">
        <w:t xml:space="preserve"> and specified product types.</w:t>
      </w:r>
    </w:p>
    <w:p w14:paraId="3CE62ECD" w14:textId="614A13D7" w:rsidR="00C41760" w:rsidRPr="00C41760" w:rsidRDefault="0043636C" w:rsidP="007867D5">
      <w:pPr>
        <w:pStyle w:val="PR1"/>
      </w:pPr>
      <w:r w:rsidRPr="00191FCF">
        <w:t xml:space="preserve">Wood </w:t>
      </w:r>
      <w:r w:rsidR="00C41760">
        <w:t xml:space="preserve">and Agrifiber </w:t>
      </w:r>
      <w:r w:rsidRPr="00191FCF">
        <w:t>Product</w:t>
      </w:r>
      <w:r w:rsidR="004E5B83">
        <w:t xml:space="preserve"> Certification</w:t>
      </w:r>
      <w:r w:rsidRPr="00191FCF">
        <w:t xml:space="preserve">s:  </w:t>
      </w:r>
      <w:r w:rsidR="00C41760">
        <w:t xml:space="preserve">For each nonstructural composite wood and agrifiber product required to be IAQ compliant in the </w:t>
      </w:r>
      <w:r w:rsidR="00162DB3">
        <w:t xml:space="preserve">Technical </w:t>
      </w:r>
      <w:r w:rsidR="00877DF8">
        <w:t>S</w:t>
      </w:r>
      <w:r w:rsidR="005D16CC">
        <w:t>ection</w:t>
      </w:r>
      <w:r w:rsidR="00162DB3">
        <w:t>s</w:t>
      </w:r>
      <w:r w:rsidR="00C41760">
        <w:t>, the following documentation is acceptable:</w:t>
      </w:r>
    </w:p>
    <w:p w14:paraId="659E3B0C" w14:textId="54022647" w:rsidR="0043636C" w:rsidRDefault="00623085" w:rsidP="007867D5">
      <w:pPr>
        <w:pStyle w:val="PR2"/>
      </w:pPr>
      <w:r>
        <w:t xml:space="preserve">California:  </w:t>
      </w:r>
      <w:r w:rsidR="00C41760">
        <w:t xml:space="preserve">Certification or copy of product label indicating that </w:t>
      </w:r>
      <w:r w:rsidR="0043636C" w:rsidRPr="00191FCF">
        <w:t>wood</w:t>
      </w:r>
      <w:r w:rsidR="00C41760">
        <w:t xml:space="preserve"> and agrifiber</w:t>
      </w:r>
      <w:r w:rsidR="0043636C" w:rsidRPr="00191FCF">
        <w:t xml:space="preserve"> product </w:t>
      </w:r>
      <w:r w:rsidR="00416067">
        <w:t>is</w:t>
      </w:r>
      <w:r w:rsidR="005D16CC">
        <w:t xml:space="preserve"> classified as No Added Formaldehyde (NAF) and </w:t>
      </w:r>
      <w:r w:rsidR="00416067">
        <w:t>is</w:t>
      </w:r>
      <w:r w:rsidR="005D16CC">
        <w:t xml:space="preserve"> compliant</w:t>
      </w:r>
      <w:r w:rsidR="005D16CC" w:rsidRPr="00191FCF">
        <w:t xml:space="preserve"> </w:t>
      </w:r>
      <w:r w:rsidR="0043636C" w:rsidRPr="00191FCF">
        <w:t xml:space="preserve">with the California Air Resources Board (CARB) </w:t>
      </w:r>
      <w:r w:rsidR="00122570">
        <w:t xml:space="preserve">Airborne Toxic Control Measure (ATCM) </w:t>
      </w:r>
      <w:r w:rsidR="0043636C" w:rsidRPr="00191FCF">
        <w:t>for Composite Wood</w:t>
      </w:r>
      <w:bookmarkStart w:id="5" w:name="OLE_LINK1"/>
      <w:bookmarkStart w:id="6" w:name="OLE_LINK2"/>
      <w:r w:rsidR="0043636C" w:rsidRPr="00191FCF">
        <w:t xml:space="preserve"> (17 CCR 93120 et seq.)</w:t>
      </w:r>
      <w:bookmarkEnd w:id="5"/>
      <w:bookmarkEnd w:id="6"/>
      <w:r w:rsidR="00122570">
        <w:t xml:space="preserve">.  </w:t>
      </w:r>
    </w:p>
    <w:p w14:paraId="024C2DA1" w14:textId="77777777" w:rsidR="00122570" w:rsidRDefault="00623085" w:rsidP="007867D5">
      <w:pPr>
        <w:pStyle w:val="PR2"/>
      </w:pPr>
      <w:r>
        <w:t xml:space="preserve">Outside of California, </w:t>
      </w:r>
      <w:r w:rsidR="00122570">
        <w:t xml:space="preserve">Manufacturer’s Self Declarations:  </w:t>
      </w:r>
      <w:r w:rsidR="005D16CC">
        <w:t xml:space="preserve">Manufacturer’s </w:t>
      </w:r>
      <w:r w:rsidR="00877DF8">
        <w:t>declaration</w:t>
      </w:r>
      <w:r w:rsidR="00122570">
        <w:t xml:space="preserve"> </w:t>
      </w:r>
      <w:r w:rsidR="003A1A5F">
        <w:t xml:space="preserve">or product data sheet indicating </w:t>
      </w:r>
      <w:r w:rsidR="00122570">
        <w:t xml:space="preserve">that product is </w:t>
      </w:r>
      <w:r w:rsidR="00321DF3">
        <w:t>produced using NAF resin binder</w:t>
      </w:r>
      <w:r w:rsidR="00122570">
        <w:t xml:space="preserve"> </w:t>
      </w:r>
    </w:p>
    <w:p w14:paraId="3F7F2D0A" w14:textId="5C408942" w:rsidR="006C7F2C" w:rsidRPr="00F16FD7" w:rsidRDefault="006C7F2C" w:rsidP="007867D5">
      <w:pPr>
        <w:pStyle w:val="CMT"/>
      </w:pPr>
      <w:r>
        <w:t xml:space="preserve">Editor’s Note:  </w:t>
      </w:r>
      <w:r w:rsidR="0011139E">
        <w:t>If</w:t>
      </w:r>
      <w:r>
        <w:t xml:space="preserve"> product transparency is a </w:t>
      </w:r>
      <w:r w:rsidR="00043FA8">
        <w:t xml:space="preserve">Project </w:t>
      </w:r>
      <w:r>
        <w:t>requirement</w:t>
      </w:r>
      <w:r w:rsidR="00744505">
        <w:t>,</w:t>
      </w:r>
      <w:r w:rsidR="0011139E">
        <w:t xml:space="preserve"> identify the products (or numbers of products or dollar value of products) requiring documentation and select from the following options</w:t>
      </w:r>
      <w:r>
        <w:t>, otherwise delete.</w:t>
      </w:r>
    </w:p>
    <w:p w14:paraId="0CEFB147" w14:textId="77777777" w:rsidR="00D80A66" w:rsidRDefault="00D80A66" w:rsidP="007867D5">
      <w:pPr>
        <w:pStyle w:val="PR1"/>
      </w:pPr>
      <w:r>
        <w:t>Building Product Transparency for Material Ingredients:  The following documentation and certifications are acceptable:</w:t>
      </w:r>
    </w:p>
    <w:p w14:paraId="6270B6B3" w14:textId="77777777" w:rsidR="009C761B" w:rsidRDefault="00D80A66" w:rsidP="007867D5">
      <w:pPr>
        <w:pStyle w:val="PR2"/>
      </w:pPr>
      <w:r>
        <w:t>Health Product Declaration (HPD):  M</w:t>
      </w:r>
      <w:r w:rsidR="00F16FD7" w:rsidRPr="00D80A66">
        <w:t xml:space="preserve">anufacturer’s </w:t>
      </w:r>
      <w:r w:rsidR="009C761B">
        <w:t>publically available Heath Product Declaration (HPD) with full disclosure of ingredients and known hazards</w:t>
      </w:r>
      <w:r w:rsidR="004E5B83">
        <w:t xml:space="preserve"> that is </w:t>
      </w:r>
      <w:r w:rsidR="009C761B">
        <w:t xml:space="preserve">in compliance with the Health Product Declaration Standard 1.0, 2012, and </w:t>
      </w:r>
      <w:r w:rsidR="004E5B83">
        <w:t xml:space="preserve">is </w:t>
      </w:r>
      <w:r w:rsidR="009C761B">
        <w:t>verified by an ISO/IEC 17065 accredited certification body.</w:t>
      </w:r>
    </w:p>
    <w:p w14:paraId="191DDCED" w14:textId="77777777" w:rsidR="00F16FD7" w:rsidRDefault="002D05D8" w:rsidP="007867D5">
      <w:pPr>
        <w:pStyle w:val="PR2"/>
      </w:pPr>
      <w:r>
        <w:t>Chemical Inventory:  Manufacturer’s publically available chemical inventory of product ingredients to at least 0.1 percent (1</w:t>
      </w:r>
      <w:r w:rsidR="004E5B83">
        <w:t>,</w:t>
      </w:r>
      <w:r>
        <w:t xml:space="preserve">000 ppm) with all ingredients identified by name and Chemical Abstract Registration Number (CASRN).  Name </w:t>
      </w:r>
      <w:r w:rsidR="00877DF8">
        <w:t>and</w:t>
      </w:r>
      <w:r>
        <w:t xml:space="preserve"> CASRN </w:t>
      </w:r>
      <w:r w:rsidR="00877DF8">
        <w:t xml:space="preserve">of substance </w:t>
      </w:r>
      <w:r>
        <w:t xml:space="preserve">defined as trade secret or intellectual property may be withheld, but </w:t>
      </w:r>
      <w:r w:rsidR="004E5B83">
        <w:t xml:space="preserve">inventory </w:t>
      </w:r>
      <w:r w:rsidR="00023032">
        <w:t xml:space="preserve">shall </w:t>
      </w:r>
      <w:r>
        <w:t xml:space="preserve">disclose role, amount, and </w:t>
      </w:r>
      <w:r w:rsidR="004E5B83">
        <w:t xml:space="preserve">hazard </w:t>
      </w:r>
      <w:r>
        <w:t>benchmark</w:t>
      </w:r>
      <w:r w:rsidR="004E5B83">
        <w:t xml:space="preserve"> rating</w:t>
      </w:r>
      <w:r w:rsidR="00877DF8">
        <w:t xml:space="preserve"> of substance</w:t>
      </w:r>
      <w:r>
        <w:t>, as defined in GreenScreen v1.2.</w:t>
      </w:r>
    </w:p>
    <w:p w14:paraId="29B13928" w14:textId="77777777" w:rsidR="002D05D8" w:rsidRPr="00F16FD7" w:rsidRDefault="002D05D8" w:rsidP="007867D5">
      <w:pPr>
        <w:pStyle w:val="PR2"/>
      </w:pPr>
      <w:r>
        <w:t>Environmental Product Declaration (EPD):</w:t>
      </w:r>
      <w:r w:rsidR="00797941">
        <w:t xml:space="preserve">  </w:t>
      </w:r>
      <w:r w:rsidR="00150CE3">
        <w:t>Manufacturer’s p</w:t>
      </w:r>
      <w:r w:rsidR="00797941">
        <w:t xml:space="preserve">roduct life cycle assessment </w:t>
      </w:r>
      <w:r w:rsidR="00150CE3">
        <w:t>documenting</w:t>
      </w:r>
      <w:r w:rsidR="00797941">
        <w:t xml:space="preserve"> environmental impact of the product throughout its life cycle </w:t>
      </w:r>
      <w:r w:rsidR="004E5B83">
        <w:t xml:space="preserve">(i.e., </w:t>
      </w:r>
      <w:r w:rsidR="00797941">
        <w:t>from cradle to cradle</w:t>
      </w:r>
      <w:r w:rsidR="004E5B83">
        <w:t>) that is verified by an ISO/IEC 17065 accredited certification body</w:t>
      </w:r>
      <w:r w:rsidR="00797941">
        <w:t>.</w:t>
      </w:r>
      <w:r>
        <w:t xml:space="preserve">  </w:t>
      </w:r>
    </w:p>
    <w:p w14:paraId="0EEA6AD5" w14:textId="77777777" w:rsidR="004328D7" w:rsidRDefault="004328D7" w:rsidP="007867D5">
      <w:pPr>
        <w:pStyle w:val="PR1"/>
      </w:pPr>
      <w:r>
        <w:t xml:space="preserve">Moisture-Protection Plan: </w:t>
      </w:r>
      <w:r w:rsidR="0084485E">
        <w:t xml:space="preserve">Contractor’s plan describing </w:t>
      </w:r>
      <w:r>
        <w:t>procedures and controls for protecting materials and construction from water absorption and damage.</w:t>
      </w:r>
    </w:p>
    <w:p w14:paraId="521122CD" w14:textId="77777777" w:rsidR="00B0601D" w:rsidRDefault="004328D7" w:rsidP="007867D5">
      <w:pPr>
        <w:pStyle w:val="PR2"/>
      </w:pPr>
      <w:r>
        <w:t>Describe delivery, handling, and storage provisions for materials subject to water absorption or water damage.</w:t>
      </w:r>
    </w:p>
    <w:p w14:paraId="7670FFDD" w14:textId="77777777" w:rsidR="00B0601D" w:rsidRDefault="002D5C5E" w:rsidP="007867D5">
      <w:pPr>
        <w:pStyle w:val="PR2"/>
      </w:pPr>
      <w:r>
        <w:lastRenderedPageBreak/>
        <w:t xml:space="preserve">Describe </w:t>
      </w:r>
      <w:r w:rsidR="004328D7">
        <w:t>procedures for discarding water-damaged materials, protocols for mitigating water intrusion into completed Work, and replacing water-damaged Work.</w:t>
      </w:r>
    </w:p>
    <w:p w14:paraId="6814C8FA" w14:textId="77777777" w:rsidR="00B0601D" w:rsidRDefault="002D5C5E" w:rsidP="007867D5">
      <w:pPr>
        <w:pStyle w:val="PR2"/>
      </w:pPr>
      <w:r>
        <w:t xml:space="preserve">Describe </w:t>
      </w:r>
      <w:r w:rsidR="004328D7">
        <w:t>sequencing of work that requires water, such as sprayed fire-resistive materials, plastering, and concrete grinding</w:t>
      </w:r>
      <w:r w:rsidR="00043FA8">
        <w:t xml:space="preserve">. </w:t>
      </w:r>
      <w:r w:rsidR="004328D7">
        <w:t xml:space="preserve"> </w:t>
      </w:r>
      <w:r w:rsidR="00043FA8">
        <w:t xml:space="preserve">Describe </w:t>
      </w:r>
      <w:r w:rsidR="004328D7">
        <w:t xml:space="preserve">plans for </w:t>
      </w:r>
      <w:r w:rsidR="006F793F">
        <w:t>managing</w:t>
      </w:r>
      <w:r w:rsidR="004328D7">
        <w:t xml:space="preserve"> water from these operations. Show procedures for verifying that wet construction has dried sufficiently to permit installation of finish materials.</w:t>
      </w:r>
    </w:p>
    <w:p w14:paraId="006F1D3B" w14:textId="77777777" w:rsidR="00310A73" w:rsidRDefault="00310A73" w:rsidP="007867D5">
      <w:pPr>
        <w:pStyle w:val="ART"/>
      </w:pPr>
      <w:r w:rsidRPr="00191FCF">
        <w:t>SUBSTITUTIONS</w:t>
      </w:r>
    </w:p>
    <w:p w14:paraId="41C0FDF5" w14:textId="77777777" w:rsidR="00310A73" w:rsidRPr="00D37C33" w:rsidRDefault="00577A2C" w:rsidP="007867D5">
      <w:pPr>
        <w:pStyle w:val="PR1"/>
      </w:pPr>
      <w:r>
        <w:t>S</w:t>
      </w:r>
      <w:r w:rsidR="00310A73" w:rsidRPr="00191FCF">
        <w:t>ubstitution request</w:t>
      </w:r>
      <w:r>
        <w:t>s</w:t>
      </w:r>
      <w:r w:rsidR="00310A73" w:rsidRPr="00191FCF">
        <w:t xml:space="preserve"> for product</w:t>
      </w:r>
      <w:r>
        <w:t xml:space="preserve"> type</w:t>
      </w:r>
      <w:r w:rsidR="00310A73" w:rsidRPr="00191FCF">
        <w:t xml:space="preserve">s specified or indicated in the Contract Documents are </w:t>
      </w:r>
      <w:r>
        <w:t xml:space="preserve">also </w:t>
      </w:r>
      <w:r w:rsidR="00310A73" w:rsidRPr="00191FCF">
        <w:t xml:space="preserve">governed by this Section </w:t>
      </w:r>
      <w:r>
        <w:t xml:space="preserve">and </w:t>
      </w:r>
      <w:r w:rsidR="00310A73" w:rsidRPr="00191FCF">
        <w:t xml:space="preserve">shall meet the minimum requirements specified </w:t>
      </w:r>
      <w:r w:rsidR="00474255">
        <w:t>herein</w:t>
      </w:r>
      <w:r w:rsidR="00310A73">
        <w:t>.</w:t>
      </w:r>
      <w:r>
        <w:t xml:space="preserve">  </w:t>
      </w:r>
      <w:r w:rsidR="00474255">
        <w:t xml:space="preserve">Substitution requests shall </w:t>
      </w:r>
      <w:r w:rsidR="000A2FBB">
        <w:t>require</w:t>
      </w:r>
      <w:r w:rsidR="00474255">
        <w:t xml:space="preserve"> </w:t>
      </w:r>
      <w:r>
        <w:t xml:space="preserve">documentation indicating compliance with the </w:t>
      </w:r>
      <w:r w:rsidR="00474255">
        <w:t xml:space="preserve">relevant </w:t>
      </w:r>
      <w:r>
        <w:t>requirements specified in this Section.</w:t>
      </w:r>
    </w:p>
    <w:p w14:paraId="23DB6936" w14:textId="63FC7D30" w:rsidR="00D37C33" w:rsidRDefault="00D37C33" w:rsidP="007867D5">
      <w:pPr>
        <w:pStyle w:val="PR2"/>
      </w:pPr>
      <w:r>
        <w:t>For products where compliance with</w:t>
      </w:r>
      <w:r w:rsidR="004E64FE">
        <w:t xml:space="preserve"> specified</w:t>
      </w:r>
      <w:r>
        <w:t xml:space="preserve"> IAQ requirements may not be possible, alternative </w:t>
      </w:r>
      <w:r w:rsidR="004E64FE">
        <w:t xml:space="preserve">IAQ </w:t>
      </w:r>
      <w:r>
        <w:t xml:space="preserve">solutions </w:t>
      </w:r>
      <w:r w:rsidR="00474255">
        <w:t xml:space="preserve">shall </w:t>
      </w:r>
      <w:r>
        <w:t xml:space="preserve">be </w:t>
      </w:r>
      <w:r w:rsidR="0011139E">
        <w:t>developed</w:t>
      </w:r>
      <w:r w:rsidR="0077140D">
        <w:t xml:space="preserve"> </w:t>
      </w:r>
      <w:r w:rsidR="00381B87">
        <w:t xml:space="preserve">by the Contractor </w:t>
      </w:r>
      <w:r w:rsidR="0077140D">
        <w:t>and</w:t>
      </w:r>
      <w:r>
        <w:t xml:space="preserve"> </w:t>
      </w:r>
      <w:r w:rsidR="001E264E">
        <w:t xml:space="preserve">approved </w:t>
      </w:r>
      <w:r w:rsidR="0011139E">
        <w:t>by Architect</w:t>
      </w:r>
      <w:r>
        <w:t xml:space="preserve"> </w:t>
      </w:r>
      <w:r w:rsidR="0077140D">
        <w:t xml:space="preserve">before being </w:t>
      </w:r>
      <w:r>
        <w:t xml:space="preserve">implemented.  </w:t>
      </w:r>
    </w:p>
    <w:p w14:paraId="33600D51" w14:textId="77777777" w:rsidR="00247ADF" w:rsidRDefault="00247ADF" w:rsidP="007867D5">
      <w:pPr>
        <w:pStyle w:val="ART"/>
      </w:pPr>
      <w:r>
        <w:t>QUALITY ASSURANCE</w:t>
      </w:r>
    </w:p>
    <w:p w14:paraId="06EBA7F5" w14:textId="77777777" w:rsidR="00FB0760" w:rsidRDefault="00FB0760" w:rsidP="007867D5">
      <w:pPr>
        <w:pStyle w:val="PR1"/>
      </w:pPr>
      <w:r>
        <w:t xml:space="preserve">Coordination:  </w:t>
      </w:r>
      <w:r w:rsidR="002B2891">
        <w:t xml:space="preserve">Coordinate </w:t>
      </w:r>
      <w:r w:rsidR="00474255">
        <w:t>IAQ</w:t>
      </w:r>
      <w:r w:rsidR="002B2891">
        <w:t xml:space="preserve"> management activities with additional environmental </w:t>
      </w:r>
      <w:r w:rsidR="00EC5F54">
        <w:t>requirements</w:t>
      </w:r>
      <w:r w:rsidR="002B2891">
        <w:t xml:space="preserve"> specified in Division 01 through Division 49 </w:t>
      </w:r>
      <w:r w:rsidR="00ED7B89">
        <w:t xml:space="preserve">Specification </w:t>
      </w:r>
      <w:r w:rsidR="002B2891">
        <w:t>Sections</w:t>
      </w:r>
    </w:p>
    <w:p w14:paraId="19971914" w14:textId="77777777" w:rsidR="00EC5F54" w:rsidRDefault="00EC5F54" w:rsidP="007867D5">
      <w:pPr>
        <w:pStyle w:val="PR1"/>
      </w:pPr>
      <w:r>
        <w:t xml:space="preserve">Laboratory Test </w:t>
      </w:r>
      <w:r w:rsidR="00967DE5">
        <w:t>Requirements</w:t>
      </w:r>
      <w:r w:rsidR="002379F8">
        <w:t xml:space="preserve">:  </w:t>
      </w:r>
      <w:r w:rsidR="002F58F6">
        <w:t>Laboratory test</w:t>
      </w:r>
      <w:r w:rsidR="00FC5C20">
        <w:t>s</w:t>
      </w:r>
      <w:r w:rsidR="002F58F6">
        <w:t xml:space="preserve"> shall be performed by</w:t>
      </w:r>
      <w:r w:rsidR="002379F8">
        <w:t xml:space="preserve"> ISO/IEC 17025 </w:t>
      </w:r>
      <w:r w:rsidR="002F58F6">
        <w:t>accredited laboratories</w:t>
      </w:r>
      <w:r w:rsidR="002379F8">
        <w:t>.</w:t>
      </w:r>
    </w:p>
    <w:p w14:paraId="54A9DB26" w14:textId="77777777" w:rsidR="00043FA8" w:rsidRDefault="00043FA8" w:rsidP="007867D5">
      <w:pPr>
        <w:pStyle w:val="PR1"/>
      </w:pPr>
      <w:r>
        <w:t xml:space="preserve">Third Party </w:t>
      </w:r>
      <w:r w:rsidR="006E7B74">
        <w:t>Certification</w:t>
      </w:r>
      <w:r>
        <w:t xml:space="preserve"> and </w:t>
      </w:r>
      <w:r w:rsidR="006E7B74">
        <w:t>Ver</w:t>
      </w:r>
      <w:r w:rsidR="00ED7B89">
        <w:t>i</w:t>
      </w:r>
      <w:r w:rsidR="006E7B74">
        <w:t>fication</w:t>
      </w:r>
      <w:r>
        <w:t xml:space="preserve"> Requirements: </w:t>
      </w:r>
      <w:r w:rsidR="006E7B74">
        <w:t>C</w:t>
      </w:r>
      <w:r>
        <w:t xml:space="preserve">ertification </w:t>
      </w:r>
      <w:r w:rsidR="006E7B74">
        <w:t xml:space="preserve">and verification </w:t>
      </w:r>
      <w:r>
        <w:t xml:space="preserve">of environmental product claims shall be performed by ISO/IEC 17065 accredited certification bodies. </w:t>
      </w:r>
    </w:p>
    <w:p w14:paraId="13491434" w14:textId="77777777" w:rsidR="00247ADF" w:rsidRDefault="00247ADF" w:rsidP="007867D5">
      <w:pPr>
        <w:pStyle w:val="ART"/>
      </w:pPr>
      <w:r>
        <w:t>DELIVERY, STORAGE, AND HANDLING</w:t>
      </w:r>
    </w:p>
    <w:p w14:paraId="7598C8BB" w14:textId="1C5CA1DB" w:rsidR="002B2891" w:rsidRPr="002B2891" w:rsidRDefault="002B2891" w:rsidP="007867D5">
      <w:pPr>
        <w:pStyle w:val="PR1"/>
      </w:pPr>
      <w:r w:rsidRPr="00191FCF">
        <w:t>Products used on the project shall be as new</w:t>
      </w:r>
      <w:r w:rsidR="0077140D">
        <w:t>,</w:t>
      </w:r>
      <w:r w:rsidRPr="00191FCF">
        <w:t xml:space="preserve"> shall not have been exposed to water</w:t>
      </w:r>
      <w:r w:rsidR="006F7849">
        <w:t>,</w:t>
      </w:r>
      <w:r w:rsidRPr="00191FCF">
        <w:t xml:space="preserve"> </w:t>
      </w:r>
      <w:r w:rsidR="0077140D">
        <w:t xml:space="preserve">and </w:t>
      </w:r>
      <w:r w:rsidR="009566E7">
        <w:t>shall not</w:t>
      </w:r>
      <w:r w:rsidR="009566E7" w:rsidRPr="00191FCF">
        <w:t xml:space="preserve"> </w:t>
      </w:r>
      <w:r w:rsidRPr="00191FCF">
        <w:t xml:space="preserve">have </w:t>
      </w:r>
      <w:r w:rsidR="009566E7">
        <w:t xml:space="preserve">visible mold </w:t>
      </w:r>
      <w:r w:rsidR="00023032">
        <w:t xml:space="preserve">or mildew </w:t>
      </w:r>
      <w:r w:rsidR="009566E7">
        <w:t>growth</w:t>
      </w:r>
      <w:r>
        <w:t>.</w:t>
      </w:r>
    </w:p>
    <w:p w14:paraId="0159B6D5" w14:textId="77777777" w:rsidR="002B2891" w:rsidRPr="002B2891" w:rsidRDefault="002B2891" w:rsidP="007867D5">
      <w:pPr>
        <w:pStyle w:val="PR1"/>
      </w:pPr>
      <w:r w:rsidRPr="00191FCF">
        <w:t>Moisture Protection:  Protect interior materials from water intrusion or penetration</w:t>
      </w:r>
      <w:r>
        <w:t>.</w:t>
      </w:r>
    </w:p>
    <w:p w14:paraId="69C7B775" w14:textId="77777777" w:rsidR="002B2891" w:rsidRPr="002B2891" w:rsidRDefault="002B2891" w:rsidP="007867D5">
      <w:pPr>
        <w:pStyle w:val="PR2"/>
      </w:pPr>
      <w:r w:rsidRPr="00191FCF">
        <w:t xml:space="preserve">Porous or fibrous materials with visible </w:t>
      </w:r>
      <w:r w:rsidR="009566E7">
        <w:t>mold</w:t>
      </w:r>
      <w:r w:rsidR="009566E7" w:rsidRPr="00191FCF">
        <w:t xml:space="preserve"> </w:t>
      </w:r>
      <w:r w:rsidR="00023032">
        <w:t xml:space="preserve">or mildew </w:t>
      </w:r>
      <w:r w:rsidRPr="00191FCF">
        <w:t xml:space="preserve">growth shall not be installed and </w:t>
      </w:r>
      <w:r w:rsidR="00023032">
        <w:t>shall</w:t>
      </w:r>
      <w:r w:rsidR="00023032" w:rsidRPr="00191FCF">
        <w:t xml:space="preserve"> </w:t>
      </w:r>
      <w:r w:rsidRPr="00191FCF">
        <w:t>be removed from the site and disposed of appropriately</w:t>
      </w:r>
      <w:r>
        <w:t>.</w:t>
      </w:r>
    </w:p>
    <w:p w14:paraId="2DD5F88B" w14:textId="28BA209B" w:rsidR="002B2891" w:rsidRPr="00907AFB" w:rsidRDefault="002B2891" w:rsidP="007867D5">
      <w:pPr>
        <w:pStyle w:val="PR2"/>
      </w:pPr>
      <w:r w:rsidRPr="00191FCF">
        <w:t xml:space="preserve">Notify Owner and Architect immediately that mold </w:t>
      </w:r>
      <w:r w:rsidR="009566E7">
        <w:t>or</w:t>
      </w:r>
      <w:r w:rsidR="009566E7" w:rsidRPr="00191FCF">
        <w:t xml:space="preserve"> </w:t>
      </w:r>
      <w:r w:rsidRPr="00191FCF">
        <w:t xml:space="preserve">mildew is detected.  </w:t>
      </w:r>
      <w:r w:rsidR="001E264E">
        <w:t>Once discovered, n</w:t>
      </w:r>
      <w:r w:rsidR="002379F8">
        <w:t xml:space="preserve">o onsite </w:t>
      </w:r>
      <w:r w:rsidR="001E264E">
        <w:t xml:space="preserve">or offsite </w:t>
      </w:r>
      <w:r w:rsidR="002379F8">
        <w:t>treatment of mold and mildew with cleaning agents or other chemicals, including ozone, is permitted</w:t>
      </w:r>
      <w:r>
        <w:t>.</w:t>
      </w:r>
    </w:p>
    <w:p w14:paraId="04ACC72A" w14:textId="5E0C6EAC" w:rsidR="00B0601D" w:rsidRDefault="00907AFB" w:rsidP="007867D5">
      <w:pPr>
        <w:pStyle w:val="PR2"/>
      </w:pPr>
      <w:r>
        <w:t xml:space="preserve">Keep porous and organic materials from coming into prolonged contact with </w:t>
      </w:r>
      <w:r w:rsidR="00863613">
        <w:t xml:space="preserve">any </w:t>
      </w:r>
      <w:r>
        <w:t>concrete</w:t>
      </w:r>
      <w:r w:rsidR="00863613">
        <w:t xml:space="preserve"> surface</w:t>
      </w:r>
      <w:r>
        <w:t>.</w:t>
      </w:r>
    </w:p>
    <w:p w14:paraId="7361417D" w14:textId="77777777" w:rsidR="00B0601D" w:rsidRDefault="00907AFB" w:rsidP="007867D5">
      <w:pPr>
        <w:pStyle w:val="PR2"/>
      </w:pPr>
      <w:r>
        <w:t xml:space="preserve">Remove standing water from decks; keep deck openings covered </w:t>
      </w:r>
      <w:r w:rsidR="00BB2638">
        <w:t>to prevent water intrusion into the project.</w:t>
      </w:r>
    </w:p>
    <w:p w14:paraId="751A5131" w14:textId="77777777" w:rsidR="004328D7" w:rsidRDefault="004328D7" w:rsidP="007867D5">
      <w:pPr>
        <w:pStyle w:val="ART"/>
      </w:pPr>
      <w:r>
        <w:t>PROJECT CONDITIONS</w:t>
      </w:r>
    </w:p>
    <w:p w14:paraId="0DA9BD83" w14:textId="418C0F10" w:rsidR="004328D7" w:rsidRDefault="004328D7" w:rsidP="007867D5">
      <w:pPr>
        <w:pStyle w:val="PR1"/>
      </w:pPr>
      <w:r>
        <w:t>Provide and maintain controlled interior environment</w:t>
      </w:r>
      <w:r w:rsidR="00406433">
        <w:t>al conditions</w:t>
      </w:r>
      <w:r>
        <w:t xml:space="preserve"> in accordance with </w:t>
      </w:r>
      <w:r w:rsidR="00381B87">
        <w:t xml:space="preserve">mechanical engineer’s </w:t>
      </w:r>
      <w:r>
        <w:t>requirements before beginning installation of interior finish materials</w:t>
      </w:r>
      <w:r w:rsidR="00023032">
        <w:t>.</w:t>
      </w:r>
      <w:r>
        <w:t xml:space="preserve"> </w:t>
      </w:r>
    </w:p>
    <w:p w14:paraId="43D8160B" w14:textId="5CDE297C" w:rsidR="00744505" w:rsidRDefault="00023032" w:rsidP="007867D5">
      <w:pPr>
        <w:pStyle w:val="PR1"/>
      </w:pPr>
      <w:r>
        <w:lastRenderedPageBreak/>
        <w:t>S</w:t>
      </w:r>
      <w:r w:rsidR="004328D7">
        <w:t xml:space="preserve">moking </w:t>
      </w:r>
      <w:r>
        <w:t xml:space="preserve">shall not </w:t>
      </w:r>
      <w:r w:rsidR="004328D7">
        <w:t>be permitted in indoor and outdoor Project site locations.</w:t>
      </w:r>
    </w:p>
    <w:p w14:paraId="51EA590E" w14:textId="77777777" w:rsidR="00744505" w:rsidRDefault="00744505" w:rsidP="007867D5">
      <w:r>
        <w:br w:type="page"/>
      </w:r>
    </w:p>
    <w:p w14:paraId="53D27A76" w14:textId="77777777" w:rsidR="004328D7" w:rsidRDefault="004328D7" w:rsidP="007867D5">
      <w:pPr>
        <w:pStyle w:val="PR1"/>
      </w:pPr>
      <w:r>
        <w:lastRenderedPageBreak/>
        <w:t>Construction Ventilation and Preconditioning, General:</w:t>
      </w:r>
    </w:p>
    <w:p w14:paraId="4CB0F23C" w14:textId="77777777" w:rsidR="00B0601D" w:rsidRDefault="004328D7" w:rsidP="007867D5">
      <w:pPr>
        <w:pStyle w:val="PR2"/>
      </w:pPr>
      <w:r w:rsidRPr="00637182">
        <w:t xml:space="preserve">Comply with </w:t>
      </w:r>
      <w:r>
        <w:t xml:space="preserve">ventilation and </w:t>
      </w:r>
      <w:r w:rsidRPr="00637182">
        <w:t xml:space="preserve">testing requirements specified in Mechanical </w:t>
      </w:r>
      <w:r w:rsidR="00ED7B89">
        <w:t xml:space="preserve">Technical </w:t>
      </w:r>
      <w:r w:rsidRPr="00637182">
        <w:t xml:space="preserve">Specification </w:t>
      </w:r>
      <w:r w:rsidR="00ED7B89">
        <w:t>Sections</w:t>
      </w:r>
      <w:r>
        <w:t xml:space="preserve">, or as directed by </w:t>
      </w:r>
      <w:r w:rsidR="00ED7B89">
        <w:t>M</w:t>
      </w:r>
      <w:r>
        <w:t xml:space="preserve">echanical </w:t>
      </w:r>
      <w:r w:rsidR="00ED7B89">
        <w:t>E</w:t>
      </w:r>
      <w:r>
        <w:t>ngineer.</w:t>
      </w:r>
    </w:p>
    <w:p w14:paraId="3B49BAD1" w14:textId="718341BD" w:rsidR="00B0601D" w:rsidRDefault="002379F8" w:rsidP="007867D5">
      <w:pPr>
        <w:pStyle w:val="PR2"/>
      </w:pPr>
      <w:r>
        <w:t xml:space="preserve">Provide temporary ventilation for </w:t>
      </w:r>
      <w:r w:rsidR="00F77421">
        <w:t xml:space="preserve">one </w:t>
      </w:r>
      <w:r>
        <w:t xml:space="preserve">hour prior to, during, and for 24 hours after completion of installation of </w:t>
      </w:r>
      <w:r w:rsidR="00F77421">
        <w:t xml:space="preserve">interior </w:t>
      </w:r>
      <w:r>
        <w:t>products</w:t>
      </w:r>
      <w:r w:rsidR="00406433">
        <w:t xml:space="preserve"> that emit </w:t>
      </w:r>
      <w:r w:rsidR="00C65CE1">
        <w:t xml:space="preserve">vapors from </w:t>
      </w:r>
      <w:r w:rsidR="00406433">
        <w:t>organic solvents</w:t>
      </w:r>
      <w:r>
        <w:t>.</w:t>
      </w:r>
    </w:p>
    <w:p w14:paraId="1690C7A8" w14:textId="77777777" w:rsidR="004328D7" w:rsidRDefault="004328D7" w:rsidP="007867D5">
      <w:pPr>
        <w:pStyle w:val="ART"/>
      </w:pPr>
      <w:r>
        <w:t>CLEANING AND PROTECTION, ENVIRONMENTAL ISSUES</w:t>
      </w:r>
    </w:p>
    <w:p w14:paraId="4B4848CE" w14:textId="44ED4B5C" w:rsidR="004328D7" w:rsidRDefault="004328D7" w:rsidP="007867D5">
      <w:pPr>
        <w:pStyle w:val="PR1"/>
      </w:pPr>
      <w:r>
        <w:t xml:space="preserve">Cleaning Agents, General:  Use cleaning </w:t>
      </w:r>
      <w:r w:rsidR="002B1A51">
        <w:t xml:space="preserve">products </w:t>
      </w:r>
      <w:r>
        <w:t xml:space="preserve">and agents recommended by </w:t>
      </w:r>
      <w:r w:rsidR="00186C25">
        <w:t xml:space="preserve">or acceptable to </w:t>
      </w:r>
      <w:r>
        <w:t xml:space="preserve">manufacturer or fabricator of the surface to be cleaned.  Do not use cleaning agents that are potentially hazardous to health or property or that </w:t>
      </w:r>
      <w:r w:rsidR="00406433">
        <w:t xml:space="preserve">may </w:t>
      </w:r>
      <w:r>
        <w:t>damage finished surfaces.</w:t>
      </w:r>
      <w:r w:rsidR="002B1A51">
        <w:t xml:space="preserve"> Preferentially use cleaning agents with safer ingredients as defined by governmental or non-governmental programs.</w:t>
      </w:r>
    </w:p>
    <w:p w14:paraId="2F1DD955" w14:textId="77777777" w:rsidR="004D3838" w:rsidRDefault="004D3838" w:rsidP="007867D5">
      <w:pPr>
        <w:pStyle w:val="CMT"/>
      </w:pPr>
      <w:r>
        <w:t>Editor’s Note:  Edit following paragraphs according to project design</w:t>
      </w:r>
      <w:r w:rsidR="00577A2C">
        <w:t xml:space="preserve"> and modify where appropriate.</w:t>
      </w:r>
    </w:p>
    <w:p w14:paraId="27276B32" w14:textId="77777777" w:rsidR="004328D7" w:rsidRDefault="004E64FE" w:rsidP="007867D5">
      <w:pPr>
        <w:pStyle w:val="PR1"/>
      </w:pPr>
      <w:r>
        <w:t xml:space="preserve">Final </w:t>
      </w:r>
      <w:r w:rsidR="004328D7">
        <w:t>Cleaning, Environmental Issues:</w:t>
      </w:r>
      <w:r w:rsidR="000B0661">
        <w:t xml:space="preserve">  Use </w:t>
      </w:r>
      <w:r w:rsidR="00A32242">
        <w:t xml:space="preserve">nontoxic </w:t>
      </w:r>
      <w:r w:rsidR="000B0661">
        <w:t>cleaning and maintenance products as described in this Section.</w:t>
      </w:r>
    </w:p>
    <w:p w14:paraId="2E48246C" w14:textId="77777777" w:rsidR="00A32242" w:rsidRDefault="00A32242" w:rsidP="007867D5">
      <w:pPr>
        <w:pStyle w:val="PR2"/>
      </w:pPr>
      <w:r>
        <w:t>Comply with IAQ Management Plan During Construction, Housekeeping, as specified in this Section.</w:t>
      </w:r>
    </w:p>
    <w:p w14:paraId="20AA131C" w14:textId="77777777" w:rsidR="00B0601D" w:rsidRDefault="004328D7" w:rsidP="007867D5">
      <w:pPr>
        <w:pStyle w:val="PR2"/>
      </w:pPr>
      <w:r>
        <w:t>Clean interior and exterior surfaces exposed to view; remove temporary labels, stains, and foreign substances; polish transparent and glossy surfaces</w:t>
      </w:r>
      <w:r w:rsidR="000B0661">
        <w:t>.</w:t>
      </w:r>
    </w:p>
    <w:p w14:paraId="37ABE4C6" w14:textId="77777777" w:rsidR="00B0601D" w:rsidRDefault="004328D7" w:rsidP="007867D5">
      <w:pPr>
        <w:pStyle w:val="PR2"/>
      </w:pPr>
      <w:r>
        <w:t>Clean equipment and</w:t>
      </w:r>
      <w:r w:rsidR="000B0661">
        <w:t xml:space="preserve"> fixtures to sanitary condition.</w:t>
      </w:r>
    </w:p>
    <w:p w14:paraId="58746455" w14:textId="537DE898" w:rsidR="004328D7" w:rsidRDefault="004328D7" w:rsidP="007867D5">
      <w:pPr>
        <w:pStyle w:val="PR2"/>
      </w:pPr>
      <w:r>
        <w:t xml:space="preserve">Remove and properly dispose of recyclable materials using </w:t>
      </w:r>
      <w:r w:rsidR="00C65CE1">
        <w:t xml:space="preserve">a </w:t>
      </w:r>
      <w:r w:rsidR="00A64B44">
        <w:t xml:space="preserve">specified </w:t>
      </w:r>
      <w:r>
        <w:t>constr</w:t>
      </w:r>
      <w:r w:rsidR="00A64B44">
        <w:t>uction waste management program.</w:t>
      </w:r>
    </w:p>
    <w:p w14:paraId="0439FA02" w14:textId="77777777" w:rsidR="00247ADF" w:rsidRDefault="00247ADF" w:rsidP="007867D5">
      <w:pPr>
        <w:pStyle w:val="PRT"/>
      </w:pPr>
      <w:r>
        <w:t>PRODUCTS</w:t>
      </w:r>
    </w:p>
    <w:p w14:paraId="3F38CC22" w14:textId="77777777" w:rsidR="00973EC8" w:rsidRPr="00FB0020" w:rsidRDefault="00661FB7" w:rsidP="007867D5">
      <w:pPr>
        <w:pStyle w:val="ART"/>
      </w:pPr>
      <w:r>
        <w:t>PERFORMANCE REQUIREMENTS</w:t>
      </w:r>
    </w:p>
    <w:p w14:paraId="00FC110B" w14:textId="77777777" w:rsidR="00973EC8" w:rsidRPr="00FB0020" w:rsidRDefault="00A64B44" w:rsidP="007867D5">
      <w:pPr>
        <w:pStyle w:val="PR1"/>
      </w:pPr>
      <w:r>
        <w:t xml:space="preserve">General:  </w:t>
      </w:r>
      <w:r w:rsidR="00973EC8" w:rsidRPr="00FB0020">
        <w:t xml:space="preserve">These requirements apply to </w:t>
      </w:r>
      <w:r w:rsidR="00B125B0">
        <w:t>i</w:t>
      </w:r>
      <w:r w:rsidR="00973EC8" w:rsidRPr="00FB0020">
        <w:t xml:space="preserve">nterior building materials, products, and finishes located within the </w:t>
      </w:r>
      <w:r w:rsidR="00097F02">
        <w:t>weather</w:t>
      </w:r>
      <w:r w:rsidR="00973EC8" w:rsidRPr="00FB0020">
        <w:t>proofing system</w:t>
      </w:r>
      <w:r>
        <w:t>, unless otherwise noted</w:t>
      </w:r>
      <w:r w:rsidR="00973EC8" w:rsidRPr="00FB0020">
        <w:t>.</w:t>
      </w:r>
    </w:p>
    <w:p w14:paraId="61267A8E" w14:textId="77777777" w:rsidR="00973EC8" w:rsidRPr="00FB0020" w:rsidRDefault="00973EC8" w:rsidP="007867D5">
      <w:pPr>
        <w:pStyle w:val="PR1"/>
      </w:pPr>
      <w:r w:rsidRPr="00FB0020">
        <w:t>Volatile Organic Compound</w:t>
      </w:r>
      <w:r w:rsidR="00407026">
        <w:t xml:space="preserve"> (VOC)</w:t>
      </w:r>
      <w:r w:rsidRPr="00FB0020">
        <w:t xml:space="preserve"> Emissions: </w:t>
      </w:r>
      <w:r w:rsidR="00AB4080">
        <w:t>Emissions for i</w:t>
      </w:r>
      <w:r w:rsidRPr="00FB0020">
        <w:t xml:space="preserve">nterior materials, products and finishes shall meet the </w:t>
      </w:r>
      <w:r w:rsidR="00AB4080">
        <w:t>California Department of Public Health (</w:t>
      </w:r>
      <w:r w:rsidR="00A64B44">
        <w:t>CDPH</w:t>
      </w:r>
      <w:r w:rsidR="00AB4080">
        <w:t>)</w:t>
      </w:r>
      <w:r w:rsidR="00A64B44">
        <w:t xml:space="preserve"> Standard</w:t>
      </w:r>
      <w:r w:rsidRPr="00FB0020">
        <w:t xml:space="preserve"> Method v1.1</w:t>
      </w:r>
      <w:r w:rsidR="00A64B44">
        <w:t>, 2010</w:t>
      </w:r>
      <w:r w:rsidRPr="00FB0020">
        <w:t xml:space="preserve"> requirements for modeled </w:t>
      </w:r>
      <w:r w:rsidR="00A64B44">
        <w:t xml:space="preserve">indoor </w:t>
      </w:r>
      <w:r w:rsidRPr="00FB0020">
        <w:t>air concentrations based on the</w:t>
      </w:r>
      <w:r w:rsidR="00A64B44">
        <w:t xml:space="preserve"> private</w:t>
      </w:r>
      <w:r w:rsidRPr="00FB0020">
        <w:t xml:space="preserve"> office </w:t>
      </w:r>
      <w:r w:rsidR="00A64B44">
        <w:t>scenario (Section 4.3.5)</w:t>
      </w:r>
      <w:r w:rsidRPr="00FB0020">
        <w:t>.</w:t>
      </w:r>
    </w:p>
    <w:p w14:paraId="1C389632" w14:textId="77777777" w:rsidR="00A64B44" w:rsidRDefault="00973EC8" w:rsidP="007867D5">
      <w:pPr>
        <w:pStyle w:val="PR1"/>
      </w:pPr>
      <w:r w:rsidRPr="00FB0020">
        <w:t xml:space="preserve">Volatile Organic Compound </w:t>
      </w:r>
      <w:r w:rsidR="00A64B44">
        <w:t xml:space="preserve">(VOC) </w:t>
      </w:r>
      <w:r w:rsidRPr="00FB0020">
        <w:t>Content</w:t>
      </w:r>
      <w:r w:rsidR="00A64B44">
        <w:t>,</w:t>
      </w:r>
      <w:r w:rsidR="001E421E">
        <w:t xml:space="preserve"> Adhesives and Sealants</w:t>
      </w:r>
      <w:r w:rsidR="00A64B44">
        <w:t>:  Site applied adhesives and sealants shall comply with South Coast Air Quality Management District (SCAQMD) Rule 1168</w:t>
      </w:r>
      <w:r w:rsidR="00B125B0">
        <w:t>, Adhesive and Sealant Applications, amended January 5 2005.</w:t>
      </w:r>
    </w:p>
    <w:p w14:paraId="41E6BDBA" w14:textId="77777777" w:rsidR="00B125B0" w:rsidRDefault="00B125B0" w:rsidP="007867D5">
      <w:pPr>
        <w:pStyle w:val="PR1"/>
      </w:pPr>
      <w:r>
        <w:t>Volatile Organic Compound (VOC) Content, Paints and Coatings:  Site applied paints and coatings shall comply with one or both of the following:</w:t>
      </w:r>
    </w:p>
    <w:p w14:paraId="4C095FF0" w14:textId="77777777" w:rsidR="00973EC8" w:rsidRDefault="001E421E" w:rsidP="007867D5">
      <w:pPr>
        <w:pStyle w:val="PR2"/>
      </w:pPr>
      <w:r>
        <w:t>South Coast Air Quality Management District (SCAQMD</w:t>
      </w:r>
      <w:r w:rsidR="00B125B0">
        <w:t>) Rule 1113, Architectural Coatings, amended September 6, 2013</w:t>
      </w:r>
      <w:r w:rsidR="00973EC8" w:rsidRPr="00FB0020">
        <w:t>.</w:t>
      </w:r>
    </w:p>
    <w:p w14:paraId="1EB24C16" w14:textId="568CB86C" w:rsidR="00F13B57" w:rsidRDefault="00B125B0" w:rsidP="007867D5">
      <w:pPr>
        <w:pStyle w:val="PR2"/>
      </w:pPr>
      <w:r>
        <w:t>California Air Resources Board (CARB) Suggested Control Measure (SCM) for Architectural Coatings, 2007.</w:t>
      </w:r>
    </w:p>
    <w:p w14:paraId="2266A320" w14:textId="66AD8BE5" w:rsidR="00B125B0" w:rsidRPr="00FB0020" w:rsidRDefault="00F13B57" w:rsidP="007867D5">
      <w:r>
        <w:br w:type="page"/>
      </w:r>
    </w:p>
    <w:p w14:paraId="391DAFED" w14:textId="77777777" w:rsidR="00DC7811" w:rsidRDefault="00973EC8" w:rsidP="007867D5">
      <w:pPr>
        <w:pStyle w:val="PR1"/>
      </w:pPr>
      <w:r w:rsidRPr="00FB0020">
        <w:lastRenderedPageBreak/>
        <w:t xml:space="preserve">Composite Wood </w:t>
      </w:r>
      <w:r w:rsidR="001E421E">
        <w:t xml:space="preserve">and Agrifiber </w:t>
      </w:r>
      <w:r w:rsidRPr="00FB0020">
        <w:t>Products</w:t>
      </w:r>
      <w:r w:rsidR="00E122DC">
        <w:t xml:space="preserve"> for i</w:t>
      </w:r>
      <w:r w:rsidR="0064278C">
        <w:t xml:space="preserve">nterior </w:t>
      </w:r>
      <w:r w:rsidR="00E122DC">
        <w:t>n</w:t>
      </w:r>
      <w:r w:rsidR="00661FB7">
        <w:t>on-</w:t>
      </w:r>
      <w:r w:rsidR="00E122DC">
        <w:t>st</w:t>
      </w:r>
      <w:r w:rsidR="00661FB7">
        <w:t xml:space="preserve">ructural </w:t>
      </w:r>
      <w:r w:rsidR="00E122DC">
        <w:t>u</w:t>
      </w:r>
      <w:r w:rsidR="00661FB7">
        <w:t>se</w:t>
      </w:r>
      <w:r w:rsidRPr="00FB0020">
        <w:t xml:space="preserve">:  </w:t>
      </w:r>
    </w:p>
    <w:p w14:paraId="42F2D8F6" w14:textId="65168B8F" w:rsidR="00DC7811" w:rsidRDefault="00DC7811" w:rsidP="007867D5">
      <w:pPr>
        <w:pStyle w:val="PR2"/>
      </w:pPr>
      <w:r>
        <w:t xml:space="preserve">California:  </w:t>
      </w:r>
      <w:r w:rsidR="00B125B0">
        <w:t>C</w:t>
      </w:r>
      <w:r w:rsidR="00973EC8" w:rsidRPr="00FB0020">
        <w:t xml:space="preserve">omposite wood products shall comply </w:t>
      </w:r>
      <w:r w:rsidR="00416067">
        <w:t>as No Added Formaldehyde (NAF) under</w:t>
      </w:r>
      <w:r w:rsidR="00416067" w:rsidRPr="00FB0020">
        <w:t xml:space="preserve"> </w:t>
      </w:r>
      <w:r w:rsidR="00967DE5" w:rsidRPr="00191FCF">
        <w:t xml:space="preserve">California Air Resources Board (CARB) </w:t>
      </w:r>
      <w:r w:rsidR="00967DE5">
        <w:t>Airborne Toxic Control Measure (ATCM) for Composite Wood</w:t>
      </w:r>
      <w:r w:rsidR="00416067">
        <w:t xml:space="preserve"> </w:t>
      </w:r>
      <w:r w:rsidR="00416067" w:rsidRPr="00191FCF">
        <w:t>(17 CCR 93120 et seq.)</w:t>
      </w:r>
      <w:r>
        <w:t>.</w:t>
      </w:r>
      <w:r w:rsidR="00321DF3">
        <w:t xml:space="preserve">  </w:t>
      </w:r>
      <w:r w:rsidR="00416067">
        <w:t xml:space="preserve">Note that product </w:t>
      </w:r>
      <w:r w:rsidR="00CB0DA1">
        <w:t>labels</w:t>
      </w:r>
      <w:r w:rsidR="00416067">
        <w:t xml:space="preserve"> showing compliance are </w:t>
      </w:r>
      <w:r w:rsidR="00321DF3">
        <w:t xml:space="preserve">required for </w:t>
      </w:r>
      <w:r w:rsidR="00416067">
        <w:t xml:space="preserve">most composite </w:t>
      </w:r>
      <w:r w:rsidR="00321DF3">
        <w:t xml:space="preserve">wood and agrifiber products sold and used within the State of California </w:t>
      </w:r>
      <w:r w:rsidR="004F6893">
        <w:t xml:space="preserve">but </w:t>
      </w:r>
      <w:r w:rsidR="00416067">
        <w:t xml:space="preserve">are </w:t>
      </w:r>
      <w:r w:rsidR="00321DF3">
        <w:t>optional in other jurisdictions.</w:t>
      </w:r>
      <w:r w:rsidR="00416067">
        <w:t xml:space="preserve"> </w:t>
      </w:r>
      <w:r w:rsidR="00744505" w:rsidRPr="00744505">
        <w:t>Labels should indicate products are NAF compliant.</w:t>
      </w:r>
    </w:p>
    <w:p w14:paraId="797A223E" w14:textId="2081EC00" w:rsidR="00416067" w:rsidRDefault="00416067" w:rsidP="007867D5">
      <w:pPr>
        <w:pStyle w:val="PR2"/>
      </w:pPr>
      <w:r>
        <w:t>California (but not included under CARB ATCM): Products shall be produced using NAF resin binder</w:t>
      </w:r>
      <w:r w:rsidR="001B234D">
        <w:t>.</w:t>
      </w:r>
    </w:p>
    <w:p w14:paraId="5D808C4C" w14:textId="77777777" w:rsidR="00DC7811" w:rsidRDefault="00DC7811" w:rsidP="007867D5">
      <w:pPr>
        <w:pStyle w:val="PR2"/>
      </w:pPr>
      <w:r>
        <w:t>Outside of California:</w:t>
      </w:r>
      <w:r w:rsidR="00501EB4">
        <w:t xml:space="preserve">  </w:t>
      </w:r>
      <w:r w:rsidR="00416067">
        <w:t>Products shall be</w:t>
      </w:r>
      <w:r w:rsidR="00501EB4">
        <w:t xml:space="preserve"> produced using NAF resin binder</w:t>
      </w:r>
      <w:r w:rsidR="00321DF3">
        <w:t>.</w:t>
      </w:r>
    </w:p>
    <w:p w14:paraId="27932F7B" w14:textId="77777777" w:rsidR="00501EB4" w:rsidRDefault="00501EB4" w:rsidP="007867D5">
      <w:pPr>
        <w:pStyle w:val="CMT"/>
      </w:pPr>
      <w:r>
        <w:t>Editor’s Note:  Retain</w:t>
      </w:r>
      <w:r w:rsidR="00C1391D">
        <w:t xml:space="preserve"> one or both of the paragraphs below if the project is required to meet the US Green Building Council (USGBC) LEED</w:t>
      </w:r>
      <w:r w:rsidR="00ED7B89" w:rsidRPr="00ED7B89">
        <w:rPr>
          <w:rFonts w:ascii="Lucida Grande" w:hAnsi="Lucida Grande"/>
          <w:b/>
          <w:color w:val="000000"/>
          <w:vertAlign w:val="superscript"/>
        </w:rPr>
        <w:t>®</w:t>
      </w:r>
      <w:r w:rsidR="00C1391D" w:rsidRPr="00ED7B89">
        <w:rPr>
          <w:vertAlign w:val="superscript"/>
        </w:rPr>
        <w:t xml:space="preserve"> </w:t>
      </w:r>
      <w:r w:rsidR="00C1391D">
        <w:t>for Homes v4</w:t>
      </w:r>
      <w:r w:rsidR="000A2FBB">
        <w:t xml:space="preserve"> or </w:t>
      </w:r>
      <w:r w:rsidR="00C1391D">
        <w:t>LEED for Home</w:t>
      </w:r>
      <w:r w:rsidR="00371771">
        <w:t>s</w:t>
      </w:r>
      <w:r w:rsidR="00C1391D">
        <w:t xml:space="preserve"> </w:t>
      </w:r>
      <w:r w:rsidR="007065CA">
        <w:t xml:space="preserve">Mid-Rise </w:t>
      </w:r>
      <w:r w:rsidR="00C1391D">
        <w:t>Multi</w:t>
      </w:r>
      <w:r w:rsidR="00BB2638">
        <w:t>-F</w:t>
      </w:r>
      <w:r w:rsidR="00C1391D">
        <w:t>amily v4</w:t>
      </w:r>
      <w:r w:rsidR="000A2FBB">
        <w:t xml:space="preserve">; </w:t>
      </w:r>
      <w:r w:rsidR="004F6893">
        <w:t>and/</w:t>
      </w:r>
      <w:r w:rsidR="00C1391D">
        <w:t>or International Living Futures Institute (ILFI) Living Building Challenge (LBC)</w:t>
      </w:r>
      <w:r w:rsidR="008353C6">
        <w:t xml:space="preserve"> v3.0</w:t>
      </w:r>
      <w:r w:rsidR="00C1391D">
        <w:t xml:space="preserve">.  Note that the </w:t>
      </w:r>
      <w:r w:rsidR="000A2FBB">
        <w:t xml:space="preserve">detailed </w:t>
      </w:r>
      <w:r w:rsidR="00C1391D">
        <w:t xml:space="preserve">requirements for </w:t>
      </w:r>
      <w:r w:rsidR="004F6893">
        <w:t xml:space="preserve">these </w:t>
      </w:r>
      <w:r w:rsidR="00C1391D">
        <w:t xml:space="preserve">rating systems will be specified elsewhere in the Project Manual.  </w:t>
      </w:r>
    </w:p>
    <w:p w14:paraId="54913C6D" w14:textId="77777777" w:rsidR="00501EB4" w:rsidRDefault="00302202" w:rsidP="007867D5">
      <w:pPr>
        <w:pStyle w:val="PR1"/>
      </w:pPr>
      <w:r w:rsidRPr="00FB0020">
        <w:t>US Green Building Council LEED v4 Requirements:  If the project is required to comply with the USGBC LEED</w:t>
      </w:r>
      <w:r w:rsidR="00EF37C8">
        <w:t>®</w:t>
      </w:r>
      <w:r w:rsidRPr="00FB0020">
        <w:t xml:space="preserve"> </w:t>
      </w:r>
      <w:r w:rsidR="001E421E">
        <w:t>for Homes</w:t>
      </w:r>
      <w:r w:rsidR="00501EB4">
        <w:t xml:space="preserve"> v4 or LEED for Homes,</w:t>
      </w:r>
      <w:r w:rsidR="001E421E">
        <w:t xml:space="preserve"> </w:t>
      </w:r>
      <w:r w:rsidR="003A2C52">
        <w:t xml:space="preserve">Mid-Rise </w:t>
      </w:r>
      <w:r w:rsidR="001E421E">
        <w:t>Multi</w:t>
      </w:r>
      <w:r w:rsidR="003A2C52">
        <w:t>-F</w:t>
      </w:r>
      <w:r w:rsidR="001E421E">
        <w:t xml:space="preserve">amily </w:t>
      </w:r>
      <w:r w:rsidRPr="00FB0020">
        <w:t>v4 Green Building Rating system</w:t>
      </w:r>
      <w:r w:rsidR="00501EB4">
        <w:t>s,</w:t>
      </w:r>
      <w:r w:rsidRPr="00FB0020">
        <w:t xml:space="preserve"> </w:t>
      </w:r>
      <w:r w:rsidR="00501EB4">
        <w:t xml:space="preserve">comply with requirements of </w:t>
      </w:r>
      <w:r w:rsidRPr="00FB0020">
        <w:t xml:space="preserve">appropriate prerequisites and credits </w:t>
      </w:r>
      <w:r w:rsidR="00097F02">
        <w:t xml:space="preserve">as </w:t>
      </w:r>
      <w:r w:rsidR="00501EB4">
        <w:t xml:space="preserve">indicated and specified for </w:t>
      </w:r>
      <w:r w:rsidRPr="00FB0020">
        <w:t xml:space="preserve">use on </w:t>
      </w:r>
      <w:r w:rsidR="00FF274E">
        <w:t>this</w:t>
      </w:r>
      <w:r w:rsidRPr="00FB0020">
        <w:t xml:space="preserve"> </w:t>
      </w:r>
      <w:r w:rsidR="004F6893">
        <w:t>P</w:t>
      </w:r>
      <w:r w:rsidR="004F6893" w:rsidRPr="00FB0020">
        <w:t>roject</w:t>
      </w:r>
      <w:r w:rsidR="001E421E">
        <w:t>.</w:t>
      </w:r>
      <w:r w:rsidR="001E421E" w:rsidRPr="001E421E">
        <w:t xml:space="preserve"> </w:t>
      </w:r>
    </w:p>
    <w:p w14:paraId="62C80B05" w14:textId="1CECE19A" w:rsidR="00C1391D" w:rsidRDefault="00302202" w:rsidP="007867D5">
      <w:pPr>
        <w:pStyle w:val="PR1"/>
      </w:pPr>
      <w:r w:rsidRPr="00FB0020">
        <w:t xml:space="preserve">International Living Futures Institute (ILFI) Living Building Challenge (LBC) </w:t>
      </w:r>
      <w:r w:rsidR="00C1391D">
        <w:t xml:space="preserve">v3.0 </w:t>
      </w:r>
      <w:r w:rsidRPr="00FB0020">
        <w:t xml:space="preserve">Requirements:  </w:t>
      </w:r>
      <w:r w:rsidR="004F6893">
        <w:t xml:space="preserve">Comply </w:t>
      </w:r>
      <w:r w:rsidR="00C1391D">
        <w:t xml:space="preserve">with </w:t>
      </w:r>
      <w:r w:rsidR="00FF274E">
        <w:t xml:space="preserve">requirements of </w:t>
      </w:r>
      <w:r w:rsidR="00C1391D">
        <w:t xml:space="preserve">Petals and </w:t>
      </w:r>
      <w:r w:rsidR="007065CA">
        <w:t xml:space="preserve">Imperatives </w:t>
      </w:r>
      <w:r w:rsidR="002B1A51">
        <w:t>performance categories</w:t>
      </w:r>
      <w:r w:rsidR="001B234D">
        <w:t xml:space="preserve"> </w:t>
      </w:r>
      <w:r w:rsidR="00FF274E">
        <w:t xml:space="preserve">as indicated and specified for use on this </w:t>
      </w:r>
      <w:r w:rsidR="004F6893">
        <w:t>Project</w:t>
      </w:r>
      <w:r w:rsidR="00C1391D">
        <w:t>.</w:t>
      </w:r>
    </w:p>
    <w:p w14:paraId="2F5BAE76" w14:textId="77777777" w:rsidR="000D596E" w:rsidRDefault="000D596E" w:rsidP="007867D5">
      <w:pPr>
        <w:pStyle w:val="ART"/>
      </w:pPr>
      <w:r>
        <w:t>PRODUCTS</w:t>
      </w:r>
      <w:r w:rsidR="00661FB7">
        <w:t>, GENERAL</w:t>
      </w:r>
      <w:r>
        <w:t xml:space="preserve"> </w:t>
      </w:r>
    </w:p>
    <w:p w14:paraId="6B40B111" w14:textId="77777777" w:rsidR="00A3265B" w:rsidRDefault="00A3265B" w:rsidP="007867D5">
      <w:pPr>
        <w:pStyle w:val="PR1"/>
      </w:pPr>
      <w:r>
        <w:t xml:space="preserve">General:  These requirements are in addition to the </w:t>
      </w:r>
      <w:r w:rsidR="00661FB7">
        <w:t>performance</w:t>
      </w:r>
      <w:r>
        <w:t xml:space="preserve"> requirements indicated above.</w:t>
      </w:r>
    </w:p>
    <w:p w14:paraId="2BD5CEF7" w14:textId="1C2292B2" w:rsidR="00A3265B" w:rsidRDefault="00A3265B" w:rsidP="007867D5">
      <w:pPr>
        <w:pStyle w:val="CMT"/>
      </w:pPr>
      <w:r>
        <w:t>Editor’s Note:  For projects outside California, the SCAQMD Rule 1168 still applies, although the pro</w:t>
      </w:r>
      <w:r w:rsidR="003A2C52">
        <w:t>duct labeling may not indicate “</w:t>
      </w:r>
      <w:r>
        <w:t xml:space="preserve">meets Rule 1168.”  </w:t>
      </w:r>
      <w:bookmarkStart w:id="7" w:name="OLE_LINK3"/>
      <w:bookmarkStart w:id="8" w:name="OLE_LINK4"/>
      <w:r w:rsidR="004F6893">
        <w:t xml:space="preserve">Conformance to Rule 1168 may be demonstrated by testing using </w:t>
      </w:r>
      <w:r>
        <w:t>EPA Method 24</w:t>
      </w:r>
      <w:r w:rsidR="00DF3A5E">
        <w:t xml:space="preserve">, other </w:t>
      </w:r>
      <w:r w:rsidR="004F6893">
        <w:t>applicable test method,</w:t>
      </w:r>
      <w:r>
        <w:t xml:space="preserve"> </w:t>
      </w:r>
      <w:r w:rsidR="004F6893">
        <w:t>or by calculation from formulation</w:t>
      </w:r>
      <w:r>
        <w:t>.</w:t>
      </w:r>
      <w:bookmarkEnd w:id="7"/>
      <w:bookmarkEnd w:id="8"/>
      <w:r>
        <w:t xml:space="preserve">  Edit the following according to</w:t>
      </w:r>
      <w:r w:rsidR="004F6893">
        <w:t xml:space="preserve"> the</w:t>
      </w:r>
      <w:r>
        <w:t xml:space="preserve"> </w:t>
      </w:r>
      <w:r w:rsidR="004F6893">
        <w:t>types</w:t>
      </w:r>
      <w:r>
        <w:t xml:space="preserve"> of adhesives </w:t>
      </w:r>
      <w:r w:rsidR="004F6893">
        <w:t xml:space="preserve">that </w:t>
      </w:r>
      <w:r>
        <w:t xml:space="preserve">will be used </w:t>
      </w:r>
      <w:r w:rsidR="004F6893">
        <w:t xml:space="preserve">in </w:t>
      </w:r>
      <w:r>
        <w:t xml:space="preserve">the </w:t>
      </w:r>
      <w:r w:rsidR="004F6893">
        <w:t xml:space="preserve">Project </w:t>
      </w:r>
      <w:r w:rsidR="00097F02">
        <w:t>interior</w:t>
      </w:r>
      <w:r>
        <w:t>.</w:t>
      </w:r>
      <w:r w:rsidR="007D2BBB">
        <w:t xml:space="preserve">  VOC content requirements may need to be updated to be consistent with </w:t>
      </w:r>
      <w:r w:rsidR="005E006A">
        <w:t xml:space="preserve">most current version of rule. </w:t>
      </w:r>
    </w:p>
    <w:p w14:paraId="4471A1E3" w14:textId="77777777" w:rsidR="00226712" w:rsidRDefault="000D596E" w:rsidP="007867D5">
      <w:pPr>
        <w:pStyle w:val="PR1"/>
      </w:pPr>
      <w:r>
        <w:t>Adhesives and Sealants:</w:t>
      </w:r>
    </w:p>
    <w:p w14:paraId="565C583B" w14:textId="2A6024A1" w:rsidR="00E94E69" w:rsidRPr="00FB0020" w:rsidRDefault="00E94E69" w:rsidP="007867D5">
      <w:pPr>
        <w:pStyle w:val="PR2"/>
      </w:pPr>
      <w:r w:rsidRPr="00FB0020">
        <w:t xml:space="preserve">No adhesive and sealant shall contain formaldehyde </w:t>
      </w:r>
      <w:r w:rsidR="007D2BBB">
        <w:t xml:space="preserve">or a formaldehyde precursor </w:t>
      </w:r>
      <w:r w:rsidRPr="00FB0020">
        <w:t>as an ingredient.</w:t>
      </w:r>
    </w:p>
    <w:p w14:paraId="2FB1B650" w14:textId="77777777" w:rsidR="00226712" w:rsidRPr="00FB0020" w:rsidRDefault="00E94E69" w:rsidP="007867D5">
      <w:pPr>
        <w:pStyle w:val="PR2"/>
      </w:pPr>
      <w:r w:rsidRPr="00FB0020">
        <w:t xml:space="preserve">Silicone </w:t>
      </w:r>
      <w:r w:rsidR="009B4582">
        <w:t xml:space="preserve">rubber </w:t>
      </w:r>
      <w:r w:rsidRPr="00FB0020">
        <w:t>caulks and sealants</w:t>
      </w:r>
      <w:r w:rsidR="009B4582">
        <w:t xml:space="preserve"> containing acetic acid as an ingredient</w:t>
      </w:r>
      <w:r w:rsidRPr="00FB0020">
        <w:t xml:space="preserve"> only are permitted to be used in limited quantity in kitchen, bath and utility areas where it is necessary to obtain a water-tight seal.</w:t>
      </w:r>
      <w:r w:rsidR="000D596E" w:rsidRPr="00FB0020">
        <w:t xml:space="preserve">  </w:t>
      </w:r>
    </w:p>
    <w:p w14:paraId="4FABDD99" w14:textId="02427306" w:rsidR="000D596E" w:rsidRDefault="001E421E" w:rsidP="007867D5">
      <w:pPr>
        <w:pStyle w:val="PR2"/>
      </w:pPr>
      <w:r>
        <w:t xml:space="preserve">SCAQMD Rule 1168:  </w:t>
      </w:r>
      <w:r w:rsidR="000D596E">
        <w:t xml:space="preserve">For field applications that are inside the weatherproofing system, adhesives and sealants shall comply with the following VOC content limits when calculated </w:t>
      </w:r>
      <w:r w:rsidR="00DF3A5E">
        <w:t>as required in Rule 1168</w:t>
      </w:r>
      <w:r w:rsidR="007D2BBB">
        <w:t xml:space="preserve"> as amended January 2005</w:t>
      </w:r>
      <w:r w:rsidR="00381B87">
        <w:t>, or most current version</w:t>
      </w:r>
      <w:r w:rsidR="000D596E">
        <w:t>:</w:t>
      </w:r>
    </w:p>
    <w:p w14:paraId="0F611BD0" w14:textId="77777777" w:rsidR="000D596E" w:rsidRDefault="000D596E" w:rsidP="007867D5">
      <w:pPr>
        <w:pStyle w:val="PR3"/>
      </w:pPr>
      <w:r>
        <w:t xml:space="preserve">Wood Glues:  </w:t>
      </w:r>
      <w:r w:rsidR="00DF3A5E">
        <w:t xml:space="preserve">30 </w:t>
      </w:r>
      <w:r>
        <w:t>g/L.</w:t>
      </w:r>
    </w:p>
    <w:p w14:paraId="1B74BD40" w14:textId="77777777" w:rsidR="000D596E" w:rsidRDefault="000D596E" w:rsidP="007867D5">
      <w:pPr>
        <w:pStyle w:val="PR3"/>
      </w:pPr>
      <w:r>
        <w:t xml:space="preserve">Metal-to-Metal Adhesives:  </w:t>
      </w:r>
      <w:r w:rsidR="00DF3A5E">
        <w:t xml:space="preserve">30 </w:t>
      </w:r>
      <w:r>
        <w:t>g/L.</w:t>
      </w:r>
    </w:p>
    <w:p w14:paraId="688D0D0D" w14:textId="77777777" w:rsidR="000D596E" w:rsidRDefault="000D596E" w:rsidP="007867D5">
      <w:pPr>
        <w:pStyle w:val="PR3"/>
      </w:pPr>
      <w:r>
        <w:t xml:space="preserve">Adhesives for Porous Materials (Except Wood):  </w:t>
      </w:r>
      <w:r w:rsidR="00DF3A5E">
        <w:t xml:space="preserve">50 </w:t>
      </w:r>
      <w:r>
        <w:t>g/L.</w:t>
      </w:r>
    </w:p>
    <w:p w14:paraId="063A8C89" w14:textId="77777777" w:rsidR="000D596E" w:rsidRDefault="000D596E" w:rsidP="007867D5">
      <w:pPr>
        <w:pStyle w:val="PR3"/>
      </w:pPr>
      <w:r>
        <w:t xml:space="preserve">Subfloor Adhesives:  </w:t>
      </w:r>
      <w:r w:rsidR="00DF3A5E">
        <w:t xml:space="preserve">50 </w:t>
      </w:r>
      <w:r>
        <w:t>g/L.</w:t>
      </w:r>
    </w:p>
    <w:p w14:paraId="0F2E0AF6" w14:textId="77777777" w:rsidR="000D596E" w:rsidRDefault="000D596E" w:rsidP="007867D5">
      <w:pPr>
        <w:pStyle w:val="PR3"/>
      </w:pPr>
      <w:r>
        <w:t xml:space="preserve">Plastic Foam Adhesives:  </w:t>
      </w:r>
      <w:r w:rsidR="00DF3A5E">
        <w:t xml:space="preserve">50 </w:t>
      </w:r>
      <w:r>
        <w:t>g/L.</w:t>
      </w:r>
    </w:p>
    <w:p w14:paraId="746732C4" w14:textId="77777777" w:rsidR="000D596E" w:rsidRDefault="000D596E" w:rsidP="007867D5">
      <w:pPr>
        <w:pStyle w:val="PR3"/>
      </w:pPr>
      <w:r>
        <w:lastRenderedPageBreak/>
        <w:t xml:space="preserve">Carpet Adhesives:  </w:t>
      </w:r>
      <w:r w:rsidR="00DF3A5E">
        <w:t xml:space="preserve">50 </w:t>
      </w:r>
      <w:r>
        <w:t>g/L.</w:t>
      </w:r>
    </w:p>
    <w:p w14:paraId="36137A45" w14:textId="77777777" w:rsidR="000D596E" w:rsidRDefault="000D596E" w:rsidP="007867D5">
      <w:pPr>
        <w:pStyle w:val="PR3"/>
      </w:pPr>
      <w:r>
        <w:t xml:space="preserve">Carpet Pad Adhesives:  </w:t>
      </w:r>
      <w:r w:rsidR="00DF3A5E">
        <w:t xml:space="preserve">50 </w:t>
      </w:r>
      <w:r>
        <w:t>g/L.</w:t>
      </w:r>
    </w:p>
    <w:p w14:paraId="244686A7" w14:textId="77777777" w:rsidR="000D596E" w:rsidRDefault="000D596E" w:rsidP="007867D5">
      <w:pPr>
        <w:pStyle w:val="PR3"/>
      </w:pPr>
      <w:r>
        <w:t xml:space="preserve">VCT and Asphalt Tile Adhesives:  </w:t>
      </w:r>
      <w:r w:rsidR="00DF3A5E">
        <w:t xml:space="preserve">50 </w:t>
      </w:r>
      <w:r>
        <w:t>g/L.</w:t>
      </w:r>
    </w:p>
    <w:p w14:paraId="40A8897D" w14:textId="77777777" w:rsidR="000D596E" w:rsidRDefault="000D596E" w:rsidP="007867D5">
      <w:pPr>
        <w:pStyle w:val="PR3"/>
      </w:pPr>
      <w:r>
        <w:t xml:space="preserve">Cove Base Adhesives:  </w:t>
      </w:r>
      <w:r w:rsidR="00DF3A5E">
        <w:t xml:space="preserve">50 </w:t>
      </w:r>
      <w:r>
        <w:t>g/L.</w:t>
      </w:r>
    </w:p>
    <w:p w14:paraId="1CAF4B91" w14:textId="77777777" w:rsidR="000D596E" w:rsidRDefault="000D596E" w:rsidP="007867D5">
      <w:pPr>
        <w:pStyle w:val="PR3"/>
      </w:pPr>
      <w:r>
        <w:t xml:space="preserve">Gypsum Board and Panel Adhesives:  </w:t>
      </w:r>
      <w:r w:rsidR="00DF3A5E">
        <w:t xml:space="preserve">50 </w:t>
      </w:r>
      <w:r>
        <w:t>g/L.</w:t>
      </w:r>
    </w:p>
    <w:p w14:paraId="0BF2B446" w14:textId="77777777" w:rsidR="000D596E" w:rsidRDefault="000D596E" w:rsidP="007867D5">
      <w:pPr>
        <w:pStyle w:val="PR3"/>
      </w:pPr>
      <w:r>
        <w:t xml:space="preserve">Rubber Floor Adhesives:  </w:t>
      </w:r>
      <w:r w:rsidR="00DF3A5E">
        <w:t xml:space="preserve">60 </w:t>
      </w:r>
      <w:r>
        <w:t>g/L.</w:t>
      </w:r>
    </w:p>
    <w:p w14:paraId="78FA968D" w14:textId="77777777" w:rsidR="000D596E" w:rsidRDefault="000D596E" w:rsidP="007867D5">
      <w:pPr>
        <w:pStyle w:val="PR3"/>
      </w:pPr>
      <w:r>
        <w:t xml:space="preserve">Ceramic Tile Adhesives:  </w:t>
      </w:r>
      <w:r w:rsidR="00DF3A5E">
        <w:t xml:space="preserve">65 </w:t>
      </w:r>
      <w:r>
        <w:t>g/L.</w:t>
      </w:r>
    </w:p>
    <w:p w14:paraId="406E971C" w14:textId="77777777" w:rsidR="000D596E" w:rsidRDefault="000D596E" w:rsidP="007867D5">
      <w:pPr>
        <w:pStyle w:val="PR3"/>
      </w:pPr>
      <w:r>
        <w:t xml:space="preserve">Multipurpose Construction Adhesives:  </w:t>
      </w:r>
      <w:r w:rsidR="00DF3A5E">
        <w:t xml:space="preserve">70 </w:t>
      </w:r>
      <w:r>
        <w:t>g/L.</w:t>
      </w:r>
    </w:p>
    <w:p w14:paraId="6DA7D89F" w14:textId="77777777" w:rsidR="000D596E" w:rsidRDefault="000D596E" w:rsidP="007867D5">
      <w:pPr>
        <w:pStyle w:val="PR3"/>
      </w:pPr>
      <w:r>
        <w:t xml:space="preserve">Fiberglass Adhesives:  </w:t>
      </w:r>
      <w:r w:rsidR="00DF3A5E">
        <w:t xml:space="preserve">80 </w:t>
      </w:r>
      <w:r>
        <w:t>g/L.</w:t>
      </w:r>
    </w:p>
    <w:p w14:paraId="5B2E4897" w14:textId="77777777" w:rsidR="000D596E" w:rsidRDefault="000D596E" w:rsidP="007867D5">
      <w:pPr>
        <w:pStyle w:val="PR3"/>
      </w:pPr>
      <w:r>
        <w:t xml:space="preserve">Contact Adhesive:  </w:t>
      </w:r>
      <w:r w:rsidR="00DF3A5E">
        <w:t xml:space="preserve">80 </w:t>
      </w:r>
      <w:r>
        <w:t>g/L.</w:t>
      </w:r>
    </w:p>
    <w:p w14:paraId="19A3BA60" w14:textId="77777777" w:rsidR="000D596E" w:rsidRDefault="000D596E" w:rsidP="007867D5">
      <w:pPr>
        <w:pStyle w:val="PR3"/>
      </w:pPr>
      <w:r>
        <w:t xml:space="preserve">Structural Glazing Adhesives:  </w:t>
      </w:r>
      <w:r w:rsidR="00DF3A5E">
        <w:t xml:space="preserve">100 </w:t>
      </w:r>
      <w:r>
        <w:t>g/L.</w:t>
      </w:r>
    </w:p>
    <w:p w14:paraId="3931AF78" w14:textId="77777777" w:rsidR="000D596E" w:rsidRDefault="000D596E" w:rsidP="007867D5">
      <w:pPr>
        <w:pStyle w:val="PR3"/>
      </w:pPr>
      <w:r>
        <w:t xml:space="preserve">Wood Flooring Adhesive:  </w:t>
      </w:r>
      <w:r w:rsidR="00DF3A5E">
        <w:t xml:space="preserve">100 </w:t>
      </w:r>
      <w:r>
        <w:t>g/L.</w:t>
      </w:r>
    </w:p>
    <w:p w14:paraId="42256A15" w14:textId="77777777" w:rsidR="000D596E" w:rsidRDefault="000D596E" w:rsidP="007867D5">
      <w:pPr>
        <w:pStyle w:val="PR3"/>
      </w:pPr>
      <w:r>
        <w:t xml:space="preserve">Structural Wood Member Adhesive:  </w:t>
      </w:r>
      <w:r w:rsidR="00DF3A5E">
        <w:t xml:space="preserve">140 </w:t>
      </w:r>
      <w:r>
        <w:t>g/L.</w:t>
      </w:r>
    </w:p>
    <w:p w14:paraId="30637927" w14:textId="77777777" w:rsidR="000D596E" w:rsidRDefault="000D596E" w:rsidP="007867D5">
      <w:pPr>
        <w:pStyle w:val="PR3"/>
      </w:pPr>
      <w:r>
        <w:t xml:space="preserve">Special-Purpose Contact Adhesive:  </w:t>
      </w:r>
      <w:r w:rsidR="00DF3A5E">
        <w:t xml:space="preserve">250 </w:t>
      </w:r>
      <w:r>
        <w:t>g/L.</w:t>
      </w:r>
    </w:p>
    <w:p w14:paraId="732B989E" w14:textId="77777777" w:rsidR="000D596E" w:rsidRDefault="000D596E" w:rsidP="007867D5">
      <w:pPr>
        <w:pStyle w:val="PR3"/>
      </w:pPr>
      <w:r>
        <w:t xml:space="preserve">Top and Trim Adhesive:  </w:t>
      </w:r>
      <w:r w:rsidR="00DF3A5E">
        <w:t xml:space="preserve">250 </w:t>
      </w:r>
      <w:r>
        <w:t>g/L.</w:t>
      </w:r>
    </w:p>
    <w:p w14:paraId="6A8AE23A" w14:textId="77777777" w:rsidR="000D596E" w:rsidRDefault="000D596E" w:rsidP="007867D5">
      <w:pPr>
        <w:pStyle w:val="PR3"/>
      </w:pPr>
      <w:r>
        <w:t xml:space="preserve">Adhesive Primer for Plastic:  </w:t>
      </w:r>
      <w:r w:rsidR="00DF3A5E">
        <w:t xml:space="preserve">550 </w:t>
      </w:r>
      <w:r>
        <w:t>g/L.</w:t>
      </w:r>
    </w:p>
    <w:p w14:paraId="6D15BC96" w14:textId="77777777" w:rsidR="000D596E" w:rsidRDefault="000D596E" w:rsidP="007867D5">
      <w:pPr>
        <w:pStyle w:val="PR3"/>
      </w:pPr>
      <w:r>
        <w:t>Aerosol Adhesive, General-Purpose Mist Spray:  65 percent by weight.</w:t>
      </w:r>
    </w:p>
    <w:p w14:paraId="75F0A772" w14:textId="77777777" w:rsidR="000D596E" w:rsidRDefault="000D596E" w:rsidP="007867D5">
      <w:pPr>
        <w:pStyle w:val="PR3"/>
      </w:pPr>
      <w:r>
        <w:t>Aerosol Adhesive, General-Purpose Web Spray:  55 percent by weight.</w:t>
      </w:r>
    </w:p>
    <w:p w14:paraId="2C54C26B" w14:textId="77777777" w:rsidR="000D596E" w:rsidRDefault="000D596E" w:rsidP="007867D5">
      <w:pPr>
        <w:pStyle w:val="PR3"/>
      </w:pPr>
      <w:r>
        <w:t>Special-Purpose Aerosol Adhesive (All Types):  70 percent by weight.</w:t>
      </w:r>
    </w:p>
    <w:p w14:paraId="4AB33C0B" w14:textId="77777777" w:rsidR="000D596E" w:rsidRDefault="000D596E" w:rsidP="007867D5">
      <w:pPr>
        <w:pStyle w:val="PR3"/>
      </w:pPr>
      <w:r>
        <w:t xml:space="preserve">Other Adhesives:  </w:t>
      </w:r>
      <w:r w:rsidR="00DF3A5E">
        <w:t xml:space="preserve">250 </w:t>
      </w:r>
      <w:r>
        <w:t>g/L.</w:t>
      </w:r>
    </w:p>
    <w:p w14:paraId="59133C2D" w14:textId="77777777" w:rsidR="000D596E" w:rsidRDefault="000D596E" w:rsidP="007867D5">
      <w:pPr>
        <w:pStyle w:val="PR3"/>
      </w:pPr>
      <w:r>
        <w:t xml:space="preserve">Architectural Sealants:  </w:t>
      </w:r>
      <w:r w:rsidR="00DF3A5E">
        <w:t xml:space="preserve">250 </w:t>
      </w:r>
      <w:r>
        <w:t>g/L.</w:t>
      </w:r>
    </w:p>
    <w:p w14:paraId="51F85D71" w14:textId="77777777" w:rsidR="000D596E" w:rsidRDefault="000D596E" w:rsidP="007867D5">
      <w:pPr>
        <w:pStyle w:val="PR3"/>
      </w:pPr>
      <w:r>
        <w:t xml:space="preserve">Other Sealants:  </w:t>
      </w:r>
      <w:r w:rsidR="00DF3A5E">
        <w:t xml:space="preserve">420 </w:t>
      </w:r>
      <w:r>
        <w:t>g/L.</w:t>
      </w:r>
    </w:p>
    <w:p w14:paraId="4025A2C0" w14:textId="77777777" w:rsidR="000D596E" w:rsidRDefault="000D596E" w:rsidP="007867D5">
      <w:pPr>
        <w:pStyle w:val="PR3"/>
      </w:pPr>
      <w:r>
        <w:t>Sealant Primers for Nonporous Substrates:  250</w:t>
      </w:r>
      <w:r w:rsidR="00DF3A5E">
        <w:t xml:space="preserve"> </w:t>
      </w:r>
      <w:r>
        <w:t>g/L.</w:t>
      </w:r>
    </w:p>
    <w:p w14:paraId="7EE16C66" w14:textId="77777777" w:rsidR="000D596E" w:rsidRDefault="000D596E" w:rsidP="007867D5">
      <w:pPr>
        <w:pStyle w:val="PR3"/>
      </w:pPr>
      <w:r>
        <w:t xml:space="preserve">Sealant Primers for Porous Substrates:  </w:t>
      </w:r>
      <w:r w:rsidR="00DF3A5E">
        <w:t xml:space="preserve">775 </w:t>
      </w:r>
      <w:r>
        <w:t>g/L.</w:t>
      </w:r>
    </w:p>
    <w:p w14:paraId="29087E4A" w14:textId="77777777" w:rsidR="000D596E" w:rsidRDefault="000D596E" w:rsidP="007867D5">
      <w:pPr>
        <w:pStyle w:val="PR3"/>
      </w:pPr>
      <w:r>
        <w:t xml:space="preserve">Other Sealant Primers:  </w:t>
      </w:r>
      <w:r w:rsidR="00DF3A5E">
        <w:t xml:space="preserve">750 </w:t>
      </w:r>
      <w:r>
        <w:t>g/L.</w:t>
      </w:r>
    </w:p>
    <w:p w14:paraId="45E1B2D3" w14:textId="2DE5D39F" w:rsidR="00730A89" w:rsidRDefault="00730A89" w:rsidP="007867D5">
      <w:pPr>
        <w:pStyle w:val="CMT"/>
      </w:pPr>
      <w:r>
        <w:t xml:space="preserve">Editor’s Note:  For projects outside California, the SCAQMD Rule 1113 still applies, although the product labeling may not indicate </w:t>
      </w:r>
      <w:r w:rsidR="000A2FBB">
        <w:t>“</w:t>
      </w:r>
      <w:r w:rsidR="0083572A">
        <w:t>meets Rule 1113.</w:t>
      </w:r>
      <w:r w:rsidR="000A2FBB">
        <w:t xml:space="preserve">”  </w:t>
      </w:r>
      <w:r w:rsidR="0083572A">
        <w:t xml:space="preserve">Alternately, projects outside of California may use the CARB SCM VOC limits.  </w:t>
      </w:r>
      <w:r w:rsidR="00B80D96">
        <w:t xml:space="preserve">Conformance to Rule 1168 and SCM may be demonstrated by testing using EPA Method 24, ASTM D6886, other applicable test method, or by calculation from formulation.  </w:t>
      </w:r>
      <w:r w:rsidR="0083572A">
        <w:t xml:space="preserve">Edit the following according to which </w:t>
      </w:r>
      <w:r w:rsidR="000A2FBB">
        <w:t xml:space="preserve">set of </w:t>
      </w:r>
      <w:r w:rsidR="0083572A">
        <w:t xml:space="preserve">criteria the </w:t>
      </w:r>
      <w:r w:rsidR="000A2FBB">
        <w:t xml:space="preserve">Project </w:t>
      </w:r>
      <w:r w:rsidR="0083572A">
        <w:t xml:space="preserve">will follow and </w:t>
      </w:r>
      <w:r w:rsidR="000A2FBB">
        <w:t xml:space="preserve">the types of </w:t>
      </w:r>
      <w:r w:rsidR="0083572A">
        <w:t>paint</w:t>
      </w:r>
      <w:r w:rsidR="000A2FBB">
        <w:t>s</w:t>
      </w:r>
      <w:r w:rsidR="0083572A">
        <w:t xml:space="preserve"> and coating</w:t>
      </w:r>
      <w:r w:rsidR="000A2FBB">
        <w:t>s</w:t>
      </w:r>
      <w:r w:rsidR="0083572A">
        <w:t xml:space="preserve"> </w:t>
      </w:r>
      <w:r w:rsidR="000A2FBB">
        <w:t xml:space="preserve">that </w:t>
      </w:r>
      <w:r w:rsidR="0083572A">
        <w:t xml:space="preserve">will be used </w:t>
      </w:r>
      <w:r w:rsidR="007659F2">
        <w:t xml:space="preserve">in </w:t>
      </w:r>
      <w:r w:rsidR="0083572A">
        <w:t xml:space="preserve">the </w:t>
      </w:r>
      <w:r w:rsidR="00B80D96">
        <w:t>Project interior</w:t>
      </w:r>
      <w:r w:rsidR="0083572A">
        <w:t>.</w:t>
      </w:r>
      <w:r w:rsidR="005E006A">
        <w:t xml:space="preserve">  VOC content requirements may need to be updated to be consistent with most current version of rule</w:t>
      </w:r>
      <w:r w:rsidR="00BA1EA2">
        <w:t xml:space="preserve"> or regulation</w:t>
      </w:r>
      <w:r w:rsidR="005E006A">
        <w:t xml:space="preserve">. </w:t>
      </w:r>
    </w:p>
    <w:p w14:paraId="7E962F9A" w14:textId="77777777" w:rsidR="00E94E69" w:rsidRDefault="000D596E" w:rsidP="007867D5">
      <w:pPr>
        <w:pStyle w:val="PR1"/>
      </w:pPr>
      <w:r>
        <w:t>Paints and Coatings:</w:t>
      </w:r>
    </w:p>
    <w:p w14:paraId="62AD16D0" w14:textId="77777777" w:rsidR="00E94E69" w:rsidRPr="00FB0020" w:rsidRDefault="00E94E69" w:rsidP="007867D5">
      <w:pPr>
        <w:pStyle w:val="PR2"/>
      </w:pPr>
      <w:r w:rsidRPr="00FB0020">
        <w:t>No paint and coating shall contain formaldehyde as an ingredient or contain chemicals that react in the product to produce formaldehyde.</w:t>
      </w:r>
    </w:p>
    <w:p w14:paraId="25510ABF" w14:textId="77777777" w:rsidR="00E94E69" w:rsidRPr="00FB0020" w:rsidRDefault="00E94E69" w:rsidP="007867D5">
      <w:pPr>
        <w:pStyle w:val="PR2"/>
      </w:pPr>
      <w:r w:rsidRPr="00FB0020">
        <w:t>All finish coatings shall be formulated with water-based technologies (i.e., water-based polyurethane, acrylic/polyurethane, acrylic, UV, or polyester) with the exception</w:t>
      </w:r>
      <w:r w:rsidR="00406433">
        <w:t>s</w:t>
      </w:r>
      <w:r w:rsidRPr="00FB0020">
        <w:t xml:space="preserve"> that solvent-based wipe stains may be used as wood finishes</w:t>
      </w:r>
      <w:r w:rsidR="001A5030">
        <w:t xml:space="preserve"> and epoxy coatings may be used in small areas for specialty applications</w:t>
      </w:r>
      <w:r w:rsidRPr="00FB0020">
        <w:t>.</w:t>
      </w:r>
    </w:p>
    <w:p w14:paraId="31160B6B" w14:textId="77777777" w:rsidR="00E94E69" w:rsidRPr="00FB0020" w:rsidRDefault="00E94E69" w:rsidP="007867D5">
      <w:pPr>
        <w:pStyle w:val="PR2"/>
      </w:pPr>
      <w:r w:rsidRPr="00FB0020">
        <w:t>Paints and coatings applied to interior doors, casework and other components produced offsite shall comply with the requirements given below.</w:t>
      </w:r>
      <w:r w:rsidR="000D596E" w:rsidRPr="00FB0020">
        <w:t xml:space="preserve">  </w:t>
      </w:r>
    </w:p>
    <w:p w14:paraId="35C0CD08" w14:textId="37051C70" w:rsidR="000D596E" w:rsidRDefault="001E421E" w:rsidP="007867D5">
      <w:pPr>
        <w:pStyle w:val="PR2"/>
      </w:pPr>
      <w:r>
        <w:t xml:space="preserve">SCAQMD Rule 1113:  </w:t>
      </w:r>
      <w:r w:rsidR="000D596E">
        <w:t xml:space="preserve">For field applications that are inside the weatherproofing system, paints and coatings shall comply with the following VOC content limits when calculated </w:t>
      </w:r>
      <w:r w:rsidR="00B80D96">
        <w:t>as required in Rule 1113</w:t>
      </w:r>
      <w:r w:rsidR="00BA1EA2">
        <w:t xml:space="preserve"> as amended September 2013</w:t>
      </w:r>
      <w:r w:rsidR="000D596E">
        <w:t>:</w:t>
      </w:r>
    </w:p>
    <w:p w14:paraId="4086787C" w14:textId="20460C6D" w:rsidR="000D596E" w:rsidRDefault="000D596E" w:rsidP="007867D5">
      <w:pPr>
        <w:pStyle w:val="PR3"/>
      </w:pPr>
      <w:r>
        <w:t xml:space="preserve">Flat Paints and Coatings:  </w:t>
      </w:r>
      <w:r w:rsidR="00B80D96">
        <w:t xml:space="preserve">50 </w:t>
      </w:r>
      <w:r>
        <w:t>g/L.</w:t>
      </w:r>
    </w:p>
    <w:p w14:paraId="01C8F8F4" w14:textId="3A576719" w:rsidR="000D596E" w:rsidRDefault="000D596E" w:rsidP="007867D5">
      <w:pPr>
        <w:pStyle w:val="PR3"/>
      </w:pPr>
      <w:r>
        <w:t>Non</w:t>
      </w:r>
      <w:r w:rsidR="00276D08">
        <w:t>-</w:t>
      </w:r>
      <w:r>
        <w:t xml:space="preserve">flat Paints and Coatings:  </w:t>
      </w:r>
      <w:r w:rsidR="00B80D96">
        <w:t xml:space="preserve">150 </w:t>
      </w:r>
      <w:r>
        <w:t>g/L.</w:t>
      </w:r>
    </w:p>
    <w:p w14:paraId="16035C32" w14:textId="461AF815" w:rsidR="000D596E" w:rsidRDefault="000D596E" w:rsidP="007867D5">
      <w:pPr>
        <w:pStyle w:val="PR3"/>
      </w:pPr>
      <w:r>
        <w:t xml:space="preserve">Primers, Sealers, and Undercoaters:  </w:t>
      </w:r>
      <w:r w:rsidR="00B80D96">
        <w:t xml:space="preserve">200 </w:t>
      </w:r>
      <w:r>
        <w:t>g/L.</w:t>
      </w:r>
    </w:p>
    <w:p w14:paraId="19F49C72" w14:textId="13AC1AD8" w:rsidR="000D596E" w:rsidRDefault="000D596E" w:rsidP="007867D5">
      <w:pPr>
        <w:pStyle w:val="PR3"/>
      </w:pPr>
      <w:r>
        <w:lastRenderedPageBreak/>
        <w:t xml:space="preserve">Anticorrosive and Antirust Paints Applied to Ferrous Metals:  </w:t>
      </w:r>
      <w:r w:rsidR="00B80D96">
        <w:t xml:space="preserve">250 </w:t>
      </w:r>
      <w:r>
        <w:t>g/L.</w:t>
      </w:r>
    </w:p>
    <w:p w14:paraId="58228752" w14:textId="4C8E8272" w:rsidR="000D596E" w:rsidRDefault="000D596E" w:rsidP="007867D5">
      <w:pPr>
        <w:pStyle w:val="PR3"/>
      </w:pPr>
      <w:r>
        <w:t xml:space="preserve">Zinc-Rich Industrial Maintenance Primers:  </w:t>
      </w:r>
      <w:r w:rsidR="00B80D96">
        <w:t xml:space="preserve">340 </w:t>
      </w:r>
      <w:r>
        <w:t>g/L.</w:t>
      </w:r>
    </w:p>
    <w:p w14:paraId="3FAE40B0" w14:textId="122F2F2D" w:rsidR="000D596E" w:rsidRDefault="000D596E" w:rsidP="007867D5">
      <w:pPr>
        <w:pStyle w:val="PR3"/>
      </w:pPr>
      <w:r>
        <w:t xml:space="preserve">Pretreatment Wash Primers:  </w:t>
      </w:r>
      <w:r w:rsidR="00B80D96">
        <w:t xml:space="preserve">420 </w:t>
      </w:r>
      <w:r>
        <w:t>g/L.</w:t>
      </w:r>
    </w:p>
    <w:p w14:paraId="1AF468FF" w14:textId="37318A12" w:rsidR="000D596E" w:rsidRDefault="000D596E" w:rsidP="007867D5">
      <w:pPr>
        <w:pStyle w:val="PR3"/>
      </w:pPr>
      <w:r>
        <w:t xml:space="preserve">Clear Wood Finishes, Varnishes:  </w:t>
      </w:r>
      <w:r w:rsidR="00B80D96">
        <w:t xml:space="preserve">350 </w:t>
      </w:r>
      <w:r>
        <w:t>g/L.</w:t>
      </w:r>
    </w:p>
    <w:p w14:paraId="2D6CB5EF" w14:textId="1A7391E4" w:rsidR="000D596E" w:rsidRDefault="000D596E" w:rsidP="007867D5">
      <w:pPr>
        <w:pStyle w:val="PR3"/>
      </w:pPr>
      <w:r>
        <w:t xml:space="preserve">Clear Wood Finishes, Lacquers:  </w:t>
      </w:r>
      <w:r w:rsidR="00B80D96">
        <w:t xml:space="preserve">550 </w:t>
      </w:r>
      <w:r>
        <w:t>g/L.</w:t>
      </w:r>
    </w:p>
    <w:p w14:paraId="3E8C6D9D" w14:textId="5EB099EA" w:rsidR="000D596E" w:rsidRDefault="000D596E" w:rsidP="007867D5">
      <w:pPr>
        <w:pStyle w:val="PR3"/>
      </w:pPr>
      <w:r>
        <w:t xml:space="preserve">Floor Coatings:  </w:t>
      </w:r>
      <w:r w:rsidR="00B80D96">
        <w:t xml:space="preserve">100 </w:t>
      </w:r>
      <w:r>
        <w:t>g/L.</w:t>
      </w:r>
    </w:p>
    <w:p w14:paraId="2C55E712" w14:textId="380D9ECB" w:rsidR="000D596E" w:rsidRDefault="000D596E" w:rsidP="007867D5">
      <w:pPr>
        <w:pStyle w:val="PR3"/>
      </w:pPr>
      <w:r>
        <w:t xml:space="preserve">Shellacs, Clear:  </w:t>
      </w:r>
      <w:r w:rsidR="00B80D96">
        <w:t xml:space="preserve">730 </w:t>
      </w:r>
      <w:r>
        <w:t>g/L.</w:t>
      </w:r>
    </w:p>
    <w:p w14:paraId="768E5881" w14:textId="7D91A417" w:rsidR="000D596E" w:rsidRDefault="000D596E" w:rsidP="007867D5">
      <w:pPr>
        <w:pStyle w:val="PR3"/>
      </w:pPr>
      <w:r>
        <w:t xml:space="preserve">Shellacs, Pigmented:  </w:t>
      </w:r>
      <w:r w:rsidR="00B80D96">
        <w:t xml:space="preserve">550 </w:t>
      </w:r>
      <w:r>
        <w:t>g/L.</w:t>
      </w:r>
    </w:p>
    <w:p w14:paraId="4DE64B31" w14:textId="5750F818" w:rsidR="000D596E" w:rsidRDefault="000D596E" w:rsidP="007867D5">
      <w:pPr>
        <w:pStyle w:val="PR3"/>
      </w:pPr>
      <w:r>
        <w:t xml:space="preserve">Stains:  </w:t>
      </w:r>
      <w:r w:rsidR="00B80D96">
        <w:t xml:space="preserve">250 </w:t>
      </w:r>
      <w:r>
        <w:t>g/L.</w:t>
      </w:r>
    </w:p>
    <w:p w14:paraId="16DF7A3C" w14:textId="77777777" w:rsidR="00F30BE0" w:rsidRDefault="00F30BE0" w:rsidP="007867D5">
      <w:pPr>
        <w:pStyle w:val="PR2"/>
      </w:pPr>
      <w:r>
        <w:t>CARB SCM, Table 1:  For field applications that are inside the weatherproofing system, paints and coatings shall comply with the following VOC content limits</w:t>
      </w:r>
      <w:r w:rsidR="00B80D96">
        <w:t xml:space="preserve"> when calculated as required by the SCM</w:t>
      </w:r>
      <w:r>
        <w:t>:</w:t>
      </w:r>
    </w:p>
    <w:p w14:paraId="166104B3" w14:textId="77777777" w:rsidR="00F30BE0" w:rsidRDefault="00F30BE0" w:rsidP="007867D5">
      <w:pPr>
        <w:pStyle w:val="PR3"/>
      </w:pPr>
      <w:r>
        <w:t>Flat Coatings: 50 g/L.</w:t>
      </w:r>
    </w:p>
    <w:p w14:paraId="22FE03A5" w14:textId="77777777" w:rsidR="00F30BE0" w:rsidRDefault="00F30BE0" w:rsidP="007867D5">
      <w:pPr>
        <w:pStyle w:val="PR3"/>
      </w:pPr>
      <w:r>
        <w:t>Non</w:t>
      </w:r>
      <w:r w:rsidR="00276D08">
        <w:t>-</w:t>
      </w:r>
      <w:r>
        <w:t>flat Coatings: 100 g/L.</w:t>
      </w:r>
    </w:p>
    <w:p w14:paraId="05DEA8C3" w14:textId="77777777" w:rsidR="00F30BE0" w:rsidRDefault="00F30BE0" w:rsidP="007867D5">
      <w:pPr>
        <w:pStyle w:val="PR3"/>
      </w:pPr>
      <w:r>
        <w:t>Non</w:t>
      </w:r>
      <w:r w:rsidR="00276D08">
        <w:t>-</w:t>
      </w:r>
      <w:r>
        <w:t>flat – High Gloss Coatings: 150 g/L.</w:t>
      </w:r>
    </w:p>
    <w:p w14:paraId="49FCEFD2" w14:textId="77777777" w:rsidR="00F30BE0" w:rsidRDefault="00F30BE0" w:rsidP="007867D5">
      <w:pPr>
        <w:pStyle w:val="PR3"/>
      </w:pPr>
      <w:r>
        <w:t>Wood Coatings: 275 g/L.</w:t>
      </w:r>
    </w:p>
    <w:p w14:paraId="078920DC" w14:textId="77777777" w:rsidR="00F30BE0" w:rsidRDefault="00F30BE0" w:rsidP="007867D5">
      <w:pPr>
        <w:pStyle w:val="PR3"/>
      </w:pPr>
      <w:r>
        <w:t>Floor Coatings: 100 g/L.</w:t>
      </w:r>
    </w:p>
    <w:p w14:paraId="32BE5C08" w14:textId="77777777" w:rsidR="00371771" w:rsidRDefault="00371771" w:rsidP="007867D5">
      <w:pPr>
        <w:pStyle w:val="PR3"/>
      </w:pPr>
      <w:r>
        <w:t>Primers, Sealers and Undercoaters: 100 g/L.</w:t>
      </w:r>
    </w:p>
    <w:p w14:paraId="4BDD7D04" w14:textId="77777777" w:rsidR="00371771" w:rsidRDefault="00371771" w:rsidP="007867D5">
      <w:pPr>
        <w:pStyle w:val="PR3"/>
      </w:pPr>
      <w:r>
        <w:t>Stains: 250 g/L.</w:t>
      </w:r>
    </w:p>
    <w:p w14:paraId="0B11E1B1" w14:textId="77777777" w:rsidR="00371771" w:rsidRDefault="00371771" w:rsidP="007867D5">
      <w:pPr>
        <w:pStyle w:val="PR3"/>
      </w:pPr>
      <w:r>
        <w:t>Concrete/Masonry Sealers: 100 g/L.</w:t>
      </w:r>
    </w:p>
    <w:p w14:paraId="480BF19B" w14:textId="77777777" w:rsidR="00A3265B" w:rsidRPr="00FB0020" w:rsidRDefault="00A3265B" w:rsidP="007867D5">
      <w:pPr>
        <w:pStyle w:val="PR1"/>
      </w:pPr>
      <w:r w:rsidRPr="00FB0020">
        <w:t>Thermal and Acoustic Insulation, General:</w:t>
      </w:r>
    </w:p>
    <w:p w14:paraId="0D40AAE4" w14:textId="77777777" w:rsidR="00A3265B" w:rsidRPr="00FB0020" w:rsidRDefault="00A3265B" w:rsidP="007867D5">
      <w:pPr>
        <w:pStyle w:val="PR2"/>
      </w:pPr>
      <w:r>
        <w:t>I</w:t>
      </w:r>
      <w:r w:rsidRPr="00FB0020">
        <w:t xml:space="preserve">nsulation material, including mineral/rock wool insulation, shall </w:t>
      </w:r>
      <w:r>
        <w:t xml:space="preserve">not </w:t>
      </w:r>
      <w:r w:rsidRPr="00FB0020">
        <w:t>contain formaldehyde</w:t>
      </w:r>
      <w:r w:rsidR="00B80D96">
        <w:t xml:space="preserve">-based binder </w:t>
      </w:r>
      <w:r w:rsidRPr="00FB0020">
        <w:t>as an ingredient.</w:t>
      </w:r>
    </w:p>
    <w:p w14:paraId="04E8AFAB" w14:textId="77777777" w:rsidR="00A3265B" w:rsidRPr="00FB0020" w:rsidRDefault="00A3265B" w:rsidP="007867D5">
      <w:pPr>
        <w:pStyle w:val="PR2"/>
      </w:pPr>
      <w:r w:rsidRPr="00FB0020">
        <w:t>Insulation material shall be fire retardant free unless required by local building code.</w:t>
      </w:r>
    </w:p>
    <w:p w14:paraId="6DA7E77E" w14:textId="77777777" w:rsidR="00710131" w:rsidRDefault="00710131" w:rsidP="007867D5">
      <w:pPr>
        <w:pStyle w:val="PR1"/>
      </w:pPr>
      <w:r>
        <w:t xml:space="preserve">Carpet and Carpet Cushion:  </w:t>
      </w:r>
    </w:p>
    <w:p w14:paraId="5D68CBB3" w14:textId="77777777" w:rsidR="001A5030" w:rsidRDefault="00710131" w:rsidP="007867D5">
      <w:pPr>
        <w:pStyle w:val="PR2"/>
      </w:pPr>
      <w:r>
        <w:t>Comply with Carpet and Rug Institute (CRI) “Green Label Plus</w:t>
      </w:r>
      <w:r w:rsidR="008353C6">
        <w:t>”</w:t>
      </w:r>
      <w:r>
        <w:t xml:space="preserve"> program</w:t>
      </w:r>
      <w:r w:rsidR="002229D2">
        <w:t xml:space="preserve"> testing requirements for carpet and the “Green Label” program testing requirements for carpet cushion</w:t>
      </w:r>
      <w:r>
        <w:t>.</w:t>
      </w:r>
    </w:p>
    <w:p w14:paraId="185B86D8" w14:textId="77777777" w:rsidR="00710131" w:rsidRDefault="00710131" w:rsidP="007867D5">
      <w:pPr>
        <w:pStyle w:val="PR2"/>
      </w:pPr>
      <w:r>
        <w:t xml:space="preserve">ANSI/NSF 140:  </w:t>
      </w:r>
      <w:r w:rsidR="002229D2">
        <w:t>For carpet, m</w:t>
      </w:r>
      <w:r>
        <w:t xml:space="preserve">eet Achievement Level of </w:t>
      </w:r>
      <w:r w:rsidRPr="00C575A1">
        <w:t>Gold, 52 to 70</w:t>
      </w:r>
      <w:r>
        <w:t xml:space="preserve"> points, based on specific Sustainable Attribute Performance for all product stages according to ANSI/</w:t>
      </w:r>
      <w:r w:rsidR="002229D2">
        <w:t xml:space="preserve">NSF </w:t>
      </w:r>
      <w:r>
        <w:t>140.</w:t>
      </w:r>
    </w:p>
    <w:p w14:paraId="0A50C6C4" w14:textId="77777777" w:rsidR="00512C8D" w:rsidRDefault="00512C8D" w:rsidP="007867D5">
      <w:pPr>
        <w:pStyle w:val="PR1"/>
      </w:pPr>
      <w:r>
        <w:t>Resilient and Tile Flooring:  Comply with Resilient Floor Covering Institute (RFCI) “FloorScore</w:t>
      </w:r>
      <w:r w:rsidR="00E122DC" w:rsidRPr="00E122DC">
        <w:rPr>
          <w:vertAlign w:val="superscript"/>
        </w:rPr>
        <w:t>®</w:t>
      </w:r>
      <w:r>
        <w:t>” program testing requirements for flooring and flooring adhesives.</w:t>
      </w:r>
    </w:p>
    <w:p w14:paraId="57E60CD1" w14:textId="77777777" w:rsidR="00512C8D" w:rsidRPr="00FB0020" w:rsidRDefault="00874C16" w:rsidP="007867D5">
      <w:pPr>
        <w:pStyle w:val="CMT"/>
      </w:pPr>
      <w:r>
        <w:t>Editor’s Note:  Thermoset decorative resin finishes on panel products are discouraged.</w:t>
      </w:r>
    </w:p>
    <w:p w14:paraId="2F868FEF" w14:textId="77777777" w:rsidR="00807EE9" w:rsidRPr="00FB0020" w:rsidRDefault="00807EE9" w:rsidP="007867D5">
      <w:pPr>
        <w:pStyle w:val="PR1"/>
      </w:pPr>
      <w:r w:rsidRPr="00FB0020">
        <w:t>Wood, Composite Wood, Agrifiber Products</w:t>
      </w:r>
      <w:r w:rsidR="00862D07">
        <w:t xml:space="preserve"> and Components</w:t>
      </w:r>
      <w:r w:rsidRPr="00FB0020">
        <w:t>:</w:t>
      </w:r>
      <w:r w:rsidR="00661FB7">
        <w:t xml:space="preserve">  Manufactured, prefinished, and engineered wood products shall comply with indicated VOC requirements</w:t>
      </w:r>
      <w:r w:rsidR="00E122DC">
        <w:t>:</w:t>
      </w:r>
    </w:p>
    <w:p w14:paraId="584C8DC7" w14:textId="77777777" w:rsidR="00807EE9" w:rsidRPr="00FB0020" w:rsidRDefault="00797160" w:rsidP="007867D5">
      <w:pPr>
        <w:pStyle w:val="PR2"/>
      </w:pPr>
      <w:r>
        <w:t xml:space="preserve">Moldings and Trim:  </w:t>
      </w:r>
      <w:r w:rsidR="003679E5">
        <w:t>I</w:t>
      </w:r>
      <w:r w:rsidR="00807EE9" w:rsidRPr="00FB0020">
        <w:t>nterior moldings and trim materials shall be solid wood or finger-jointed wood. No MDF or other composite wood products shall be used for moldings and trim.</w:t>
      </w:r>
    </w:p>
    <w:p w14:paraId="0BE7EFDA" w14:textId="234D1714" w:rsidR="00807EE9" w:rsidRDefault="00797160" w:rsidP="007867D5">
      <w:pPr>
        <w:pStyle w:val="PR2"/>
      </w:pPr>
      <w:r>
        <w:t xml:space="preserve">Shelving and Panels:  </w:t>
      </w:r>
      <w:r w:rsidR="003679E5">
        <w:t>B</w:t>
      </w:r>
      <w:r w:rsidR="00807EE9" w:rsidRPr="00FB0020">
        <w:t>uilt-in shelving</w:t>
      </w:r>
      <w:r w:rsidR="00661FB7">
        <w:t>, including closet shelving and organizers,</w:t>
      </w:r>
      <w:r w:rsidR="00807EE9" w:rsidRPr="00FB0020">
        <w:t xml:space="preserve"> and wood panels applied to walls, columns and other structures</w:t>
      </w:r>
      <w:r w:rsidR="00661FB7">
        <w:t xml:space="preserve">, </w:t>
      </w:r>
      <w:r w:rsidR="00807EE9" w:rsidRPr="00FB0020">
        <w:t xml:space="preserve">shall consist of hardwood plywood (HWPW) with no-added formaldehyde (NAF) veneer core. </w:t>
      </w:r>
    </w:p>
    <w:p w14:paraId="5BE92887" w14:textId="77777777" w:rsidR="00807EE9" w:rsidRPr="00FB0020" w:rsidRDefault="00797160" w:rsidP="007867D5">
      <w:pPr>
        <w:pStyle w:val="PR2"/>
      </w:pPr>
      <w:r>
        <w:lastRenderedPageBreak/>
        <w:t xml:space="preserve">Stair Components:  </w:t>
      </w:r>
      <w:r w:rsidR="00807EE9" w:rsidRPr="00FB0020">
        <w:t>Stair components (handrails, balusters, posts, treads, risers and stringers) shall be solid wood. Alternately treads and risers may consist of hardwood plywo</w:t>
      </w:r>
      <w:r w:rsidR="003B30E8">
        <w:t>od (HWPW) with NAF veneer core.</w:t>
      </w:r>
    </w:p>
    <w:p w14:paraId="1AC4B4F0" w14:textId="77777777" w:rsidR="00C539C1" w:rsidRPr="00FB0020" w:rsidRDefault="00C539C1" w:rsidP="007867D5">
      <w:pPr>
        <w:pStyle w:val="PR2"/>
      </w:pPr>
      <w:r w:rsidRPr="00FB0020">
        <w:t>Built-In Casework, General:</w:t>
      </w:r>
    </w:p>
    <w:p w14:paraId="075E1243" w14:textId="77777777" w:rsidR="00C539C1" w:rsidRPr="00FB0020" w:rsidRDefault="00C539C1" w:rsidP="007867D5">
      <w:pPr>
        <w:pStyle w:val="PR3"/>
      </w:pPr>
      <w:r w:rsidRPr="00FB0020">
        <w:t xml:space="preserve">Casework cases shall employ </w:t>
      </w:r>
      <w:r w:rsidR="00CB0DA1">
        <w:t xml:space="preserve">either solid wood or </w:t>
      </w:r>
      <w:r w:rsidRPr="00FB0020">
        <w:t>all plywood construction (APC) including end panels, ceilings, floors, backs, shelves and interior support beams.</w:t>
      </w:r>
    </w:p>
    <w:p w14:paraId="3EEF5B39" w14:textId="77777777" w:rsidR="00C539C1" w:rsidRPr="00FB0020" w:rsidRDefault="00C539C1" w:rsidP="007867D5">
      <w:pPr>
        <w:pStyle w:val="PR3"/>
      </w:pPr>
      <w:r w:rsidRPr="00FB0020">
        <w:t>Casework drawers shall consist of solid wood drawer sides and HWPW NAF drawer bottoms.</w:t>
      </w:r>
    </w:p>
    <w:p w14:paraId="7F8B6D19" w14:textId="2050EF81" w:rsidR="00C539C1" w:rsidRPr="00FB0020" w:rsidRDefault="00C539C1" w:rsidP="007867D5">
      <w:pPr>
        <w:pStyle w:val="PR3"/>
      </w:pPr>
      <w:r w:rsidRPr="00FB0020">
        <w:t>Casework interiors shall be finished wood veneer, high-pressure laminate or equivalent.</w:t>
      </w:r>
    </w:p>
    <w:p w14:paraId="22E55EA8" w14:textId="77777777" w:rsidR="00C539C1" w:rsidRDefault="00C539C1" w:rsidP="007867D5">
      <w:pPr>
        <w:pStyle w:val="PR3"/>
      </w:pPr>
      <w:r w:rsidRPr="00FB0020">
        <w:t>Finish coatings shall be water-based polyurethane, acrylic/polyurethane, acrylic, UV, or polyester. Finish coatings shall not contain or produce formaldehyde (i.e., acid cured or catalyzed finishes are prohibited).</w:t>
      </w:r>
    </w:p>
    <w:p w14:paraId="546D0F33" w14:textId="77777777" w:rsidR="00B0601D" w:rsidRDefault="00862D07" w:rsidP="007867D5">
      <w:pPr>
        <w:pStyle w:val="PR2"/>
      </w:pPr>
      <w:r w:rsidRPr="00FB0020">
        <w:t>Interior Doors, General:</w:t>
      </w:r>
      <w:r w:rsidR="00FF62F9">
        <w:t xml:space="preserve">  </w:t>
      </w:r>
      <w:r>
        <w:t xml:space="preserve">Preferred Option, </w:t>
      </w:r>
      <w:r w:rsidR="00FF62F9">
        <w:t>i</w:t>
      </w:r>
      <w:r w:rsidRPr="00FB0020">
        <w:t>nterior doors shall be solid wood</w:t>
      </w:r>
      <w:r>
        <w:t xml:space="preserve"> construction.</w:t>
      </w:r>
      <w:r w:rsidR="00FF62F9">
        <w:t xml:space="preserve"> </w:t>
      </w:r>
    </w:p>
    <w:p w14:paraId="76ECEBE5" w14:textId="77777777" w:rsidR="00C539C1" w:rsidRPr="00FB0020" w:rsidRDefault="00C539C1" w:rsidP="007867D5">
      <w:pPr>
        <w:pStyle w:val="PR1"/>
      </w:pPr>
      <w:r w:rsidRPr="00FB0020">
        <w:t>Countertops, General:</w:t>
      </w:r>
    </w:p>
    <w:p w14:paraId="7A229E42" w14:textId="00A2EAD3" w:rsidR="00C539C1" w:rsidRPr="00FB0020" w:rsidRDefault="00C539C1" w:rsidP="007867D5">
      <w:pPr>
        <w:pStyle w:val="PR2"/>
      </w:pPr>
      <w:r w:rsidRPr="00FB0020">
        <w:t>Kitchen, bath and utility countertops shall be concrete, stone, recycled paper</w:t>
      </w:r>
      <w:r w:rsidR="00044ADA">
        <w:t xml:space="preserve"> composite, recycled plastic, </w:t>
      </w:r>
      <w:r w:rsidRPr="00FB0020">
        <w:t>terrazzo</w:t>
      </w:r>
      <w:r w:rsidR="00044ADA">
        <w:t xml:space="preserve"> or other products that meet the specified </w:t>
      </w:r>
      <w:r w:rsidR="00E50825">
        <w:t xml:space="preserve">VOC </w:t>
      </w:r>
      <w:r w:rsidR="00044ADA">
        <w:t>requirements of this Section</w:t>
      </w:r>
      <w:r w:rsidRPr="00FB0020">
        <w:t>.</w:t>
      </w:r>
    </w:p>
    <w:p w14:paraId="1D1E43BD" w14:textId="05175029" w:rsidR="00C539C1" w:rsidRDefault="00C539C1" w:rsidP="007867D5">
      <w:pPr>
        <w:pStyle w:val="PR2"/>
      </w:pPr>
      <w:r w:rsidRPr="00FB0020">
        <w:t xml:space="preserve">Countertops </w:t>
      </w:r>
      <w:r w:rsidR="00913370">
        <w:t xml:space="preserve">shall be installed over substrates that are in compliance with the </w:t>
      </w:r>
      <w:r w:rsidR="00E50825">
        <w:t xml:space="preserve">VOC </w:t>
      </w:r>
      <w:r w:rsidR="00913370">
        <w:t>requirements of this Section</w:t>
      </w:r>
      <w:r w:rsidRPr="00FB0020">
        <w:t>.</w:t>
      </w:r>
    </w:p>
    <w:p w14:paraId="2D196395" w14:textId="77777777" w:rsidR="00C539C1" w:rsidRPr="00FB0020" w:rsidRDefault="00367895" w:rsidP="007867D5">
      <w:pPr>
        <w:pStyle w:val="PR1"/>
      </w:pPr>
      <w:r>
        <w:t xml:space="preserve">Gypsum Board </w:t>
      </w:r>
      <w:r w:rsidR="00C539C1" w:rsidRPr="00FB0020">
        <w:t>Walls and Ceilings, General:</w:t>
      </w:r>
    </w:p>
    <w:p w14:paraId="420E0E44" w14:textId="77777777" w:rsidR="003B30E8" w:rsidRPr="003B30E8" w:rsidRDefault="00367895" w:rsidP="007867D5">
      <w:pPr>
        <w:pStyle w:val="PR2"/>
      </w:pPr>
      <w:r>
        <w:t xml:space="preserve">Attachment Method:  </w:t>
      </w:r>
      <w:r w:rsidR="00C539C1" w:rsidRPr="00FB0020">
        <w:t xml:space="preserve">Paper-faced and paperless gypsum wall board (GWB) shall be applied with conventional mechanical fasteners. Solvent-containing adhesives shall not be used for application of </w:t>
      </w:r>
      <w:r>
        <w:t>gypsum board</w:t>
      </w:r>
      <w:r w:rsidR="00C539C1" w:rsidRPr="00FB0020">
        <w:t>.</w:t>
      </w:r>
      <w:r w:rsidR="00797941">
        <w:t xml:space="preserve">  </w:t>
      </w:r>
    </w:p>
    <w:p w14:paraId="304616F4" w14:textId="77777777" w:rsidR="00C539C1" w:rsidRPr="00FB0020" w:rsidRDefault="003B30E8" w:rsidP="007867D5">
      <w:pPr>
        <w:pStyle w:val="PR2"/>
      </w:pPr>
      <w:r>
        <w:t xml:space="preserve">Gypsum board shall comply with VOC emissions </w:t>
      </w:r>
      <w:r w:rsidR="00797941">
        <w:t>test</w:t>
      </w:r>
      <w:r>
        <w:t>ing as indicated in this Section.</w:t>
      </w:r>
    </w:p>
    <w:p w14:paraId="0BEB56BA" w14:textId="77777777" w:rsidR="00B424C0" w:rsidRPr="00FB0020" w:rsidRDefault="00B424C0" w:rsidP="007867D5">
      <w:pPr>
        <w:pStyle w:val="CMT"/>
      </w:pPr>
      <w:r>
        <w:t xml:space="preserve">Editor’s Note:  Retain the following paragraph if </w:t>
      </w:r>
      <w:r w:rsidR="001646E1">
        <w:t xml:space="preserve">restriction of </w:t>
      </w:r>
      <w:bookmarkStart w:id="9" w:name="OLE_LINK9"/>
      <w:bookmarkStart w:id="10" w:name="OLE_LINK10"/>
      <w:r w:rsidR="001646E1">
        <w:t xml:space="preserve">Living Building Challenge </w:t>
      </w:r>
      <w:r>
        <w:t xml:space="preserve">Red List </w:t>
      </w:r>
      <w:r w:rsidR="001646E1">
        <w:t>Materials</w:t>
      </w:r>
      <w:bookmarkEnd w:id="9"/>
      <w:bookmarkEnd w:id="10"/>
      <w:r w:rsidR="001646E1">
        <w:t xml:space="preserve"> </w:t>
      </w:r>
      <w:r>
        <w:t>is a project requirement</w:t>
      </w:r>
      <w:r w:rsidR="001646E1">
        <w:t xml:space="preserve">; </w:t>
      </w:r>
      <w:r>
        <w:t>otherwise delete.</w:t>
      </w:r>
      <w:r w:rsidR="00342AE7">
        <w:t xml:space="preserve">  </w:t>
      </w:r>
      <w:r w:rsidR="00B33BC3">
        <w:t xml:space="preserve">Utilize the </w:t>
      </w:r>
      <w:r w:rsidR="001646E1">
        <w:t>International Living Future Institute “</w:t>
      </w:r>
      <w:r w:rsidR="00B33BC3">
        <w:t>Declare</w:t>
      </w:r>
      <w:r w:rsidR="001646E1">
        <w:t>”</w:t>
      </w:r>
      <w:r w:rsidR="00B33BC3">
        <w:t xml:space="preserve"> label to </w:t>
      </w:r>
      <w:r w:rsidR="001646E1">
        <w:t>demonstrate product compliance</w:t>
      </w:r>
      <w:r w:rsidR="00B33BC3">
        <w:t xml:space="preserve">.  </w:t>
      </w:r>
      <w:r w:rsidR="001646E1">
        <w:t xml:space="preserve">Detailed </w:t>
      </w:r>
      <w:r w:rsidR="00342AE7">
        <w:t>LBC requirements should be specified in a separate Division 01 Sustainable Design Requirements Section.</w:t>
      </w:r>
    </w:p>
    <w:p w14:paraId="5E6AC701" w14:textId="77777777" w:rsidR="00342AE7" w:rsidRDefault="00F51400" w:rsidP="007867D5">
      <w:pPr>
        <w:pStyle w:val="PR1"/>
      </w:pPr>
      <w:r w:rsidRPr="00FB0020">
        <w:t>Living Building Challenge</w:t>
      </w:r>
      <w:r w:rsidR="007E04EE" w:rsidRPr="00FB0020">
        <w:t xml:space="preserve"> (LBC)</w:t>
      </w:r>
      <w:r w:rsidR="004328D7" w:rsidRPr="00FB0020">
        <w:t xml:space="preserve"> Red List Materials:  Subject to specific exceptions</w:t>
      </w:r>
      <w:r w:rsidR="00C539C1" w:rsidRPr="00FB0020">
        <w:t xml:space="preserve"> as defined by the Living Building Challenge</w:t>
      </w:r>
      <w:r w:rsidR="00342AE7">
        <w:t xml:space="preserve"> v3.0</w:t>
      </w:r>
      <w:r w:rsidR="004328D7" w:rsidRPr="00FB0020">
        <w:t xml:space="preserve">, products </w:t>
      </w:r>
      <w:r w:rsidR="003B3B04">
        <w:t>shall</w:t>
      </w:r>
      <w:r w:rsidR="003B3B04" w:rsidRPr="00FB0020">
        <w:t xml:space="preserve"> </w:t>
      </w:r>
      <w:r w:rsidR="004328D7" w:rsidRPr="00FB0020">
        <w:t xml:space="preserve">not </w:t>
      </w:r>
      <w:r w:rsidR="00F11B6B">
        <w:t>contain</w:t>
      </w:r>
      <w:r w:rsidR="00F11B6B" w:rsidRPr="00FB0020">
        <w:t xml:space="preserve"> </w:t>
      </w:r>
      <w:r w:rsidR="00342AE7">
        <w:t xml:space="preserve">Red List Materials as listed in </w:t>
      </w:r>
      <w:r w:rsidR="003B30E8">
        <w:t xml:space="preserve">the </w:t>
      </w:r>
      <w:r w:rsidR="00342AE7">
        <w:t xml:space="preserve">Materials Petal, </w:t>
      </w:r>
      <w:bookmarkStart w:id="11" w:name="OLE_LINK7"/>
      <w:bookmarkStart w:id="12" w:name="OLE_LINK8"/>
      <w:r w:rsidR="00342AE7">
        <w:t xml:space="preserve">Responsible Industry Imperative </w:t>
      </w:r>
      <w:bookmarkEnd w:id="11"/>
      <w:bookmarkEnd w:id="12"/>
      <w:r w:rsidR="00874C16">
        <w:t>10</w:t>
      </w:r>
      <w:r w:rsidR="00342AE7">
        <w:t>.</w:t>
      </w:r>
    </w:p>
    <w:p w14:paraId="41615C5C" w14:textId="77777777" w:rsidR="004B2322" w:rsidRDefault="004B2322" w:rsidP="007867D5">
      <w:pPr>
        <w:pStyle w:val="CMT"/>
      </w:pPr>
      <w:r>
        <w:t xml:space="preserve">Editor’s Note:  The following requirements </w:t>
      </w:r>
      <w:r w:rsidR="00B424C0">
        <w:t xml:space="preserve">for product transparency </w:t>
      </w:r>
      <w:r>
        <w:t xml:space="preserve">are optional, and </w:t>
      </w:r>
      <w:r w:rsidR="00B424C0">
        <w:t xml:space="preserve">information </w:t>
      </w:r>
      <w:r>
        <w:t>may not be available for all products</w:t>
      </w:r>
      <w:r w:rsidR="00B33BC3">
        <w:t xml:space="preserve">, so aiming for a small percentage of the products on the project may be appropriate until more </w:t>
      </w:r>
      <w:r w:rsidR="00984320">
        <w:t>product transparency information becomes available</w:t>
      </w:r>
      <w:r>
        <w:t>.</w:t>
      </w:r>
      <w:r w:rsidR="00B33BC3">
        <w:t xml:space="preserve">  Incorporate only if the project Owner requires this information.  Select the appropriate certification(s) based on the project requirements.</w:t>
      </w:r>
    </w:p>
    <w:p w14:paraId="4F211DF2" w14:textId="77777777" w:rsidR="004B2322" w:rsidRDefault="004B2322" w:rsidP="007867D5">
      <w:pPr>
        <w:pStyle w:val="PR1"/>
      </w:pPr>
      <w:r>
        <w:t>Environmentally Preferable Products, Transparency:  Provide</w:t>
      </w:r>
      <w:r w:rsidR="007729C5">
        <w:t xml:space="preserve"> at least</w:t>
      </w:r>
      <w:r>
        <w:t xml:space="preserve"> </w:t>
      </w:r>
      <w:r w:rsidR="007729C5">
        <w:t xml:space="preserve">20 products on the </w:t>
      </w:r>
      <w:r w:rsidR="00B33BC3">
        <w:t xml:space="preserve">project </w:t>
      </w:r>
      <w:r>
        <w:t xml:space="preserve">having </w:t>
      </w:r>
      <w:r w:rsidR="00392B9D">
        <w:t>documentation of one or more of the following</w:t>
      </w:r>
      <w:r>
        <w:t>:</w:t>
      </w:r>
    </w:p>
    <w:p w14:paraId="4486B5AA" w14:textId="77777777" w:rsidR="004B2322" w:rsidRDefault="00B33BC3" w:rsidP="007867D5">
      <w:pPr>
        <w:pStyle w:val="PR2"/>
      </w:pPr>
      <w:r>
        <w:t xml:space="preserve">Health Product Declaration Collaborative:  </w:t>
      </w:r>
      <w:r w:rsidR="004B2322">
        <w:t>Completed Health Product Declaration (HPD) Standard</w:t>
      </w:r>
      <w:r>
        <w:t>, latest version</w:t>
      </w:r>
      <w:r w:rsidR="004B2322">
        <w:t>.</w:t>
      </w:r>
    </w:p>
    <w:p w14:paraId="7EF4120C" w14:textId="77777777" w:rsidR="004B2322" w:rsidRDefault="00260361" w:rsidP="007867D5">
      <w:pPr>
        <w:pStyle w:val="PR2"/>
      </w:pPr>
      <w:r>
        <w:lastRenderedPageBreak/>
        <w:t xml:space="preserve">Cradle to Cradle Products Innovation Institute:  </w:t>
      </w:r>
      <w:r w:rsidR="004B2322">
        <w:t xml:space="preserve">Cradle to Cradle </w:t>
      </w:r>
      <w:r w:rsidR="00392B9D">
        <w:t>Certified V3.0</w:t>
      </w:r>
      <w:r w:rsidR="004B2322">
        <w:t>; Silver Level</w:t>
      </w:r>
      <w:r w:rsidR="003679E5">
        <w:t xml:space="preserve"> minimum</w:t>
      </w:r>
      <w:r w:rsidR="004B2322">
        <w:t>.</w:t>
      </w:r>
    </w:p>
    <w:p w14:paraId="746547A6" w14:textId="77777777" w:rsidR="00260361" w:rsidRDefault="00260361" w:rsidP="007867D5">
      <w:pPr>
        <w:pStyle w:val="PR2"/>
      </w:pPr>
      <w:r>
        <w:t xml:space="preserve">International Living Future Institute:  Living Building Challenge; Declare </w:t>
      </w:r>
      <w:r w:rsidR="00392B9D">
        <w:t>label</w:t>
      </w:r>
      <w:r>
        <w:t>.</w:t>
      </w:r>
    </w:p>
    <w:p w14:paraId="6C7A9DB8" w14:textId="7769BD2C" w:rsidR="00F13B57" w:rsidRDefault="00260361" w:rsidP="007867D5">
      <w:pPr>
        <w:pStyle w:val="PR2"/>
      </w:pPr>
      <w:r>
        <w:t>Environme</w:t>
      </w:r>
      <w:r w:rsidR="00797941">
        <w:t>ntal Pro</w:t>
      </w:r>
      <w:r w:rsidR="00F22917">
        <w:t xml:space="preserve">duct Declarations (EPD):  </w:t>
      </w:r>
      <w:r w:rsidR="00907AFB">
        <w:t>M</w:t>
      </w:r>
      <w:r w:rsidR="00F22917">
        <w:t xml:space="preserve">anufacturer’s </w:t>
      </w:r>
      <w:r w:rsidR="00907AFB">
        <w:t>Environmental Product Declaration</w:t>
      </w:r>
      <w:r w:rsidR="00F22917">
        <w:t>.</w:t>
      </w:r>
    </w:p>
    <w:p w14:paraId="7433845C" w14:textId="2D95F41A" w:rsidR="00B0601D" w:rsidRDefault="00F13B57" w:rsidP="007867D5">
      <w:r>
        <w:br w:type="page"/>
      </w:r>
    </w:p>
    <w:p w14:paraId="370183C5" w14:textId="77777777" w:rsidR="00247ADF" w:rsidRDefault="00247ADF" w:rsidP="007867D5">
      <w:pPr>
        <w:pStyle w:val="PRT"/>
      </w:pPr>
      <w:r>
        <w:lastRenderedPageBreak/>
        <w:t>EXECUTION</w:t>
      </w:r>
    </w:p>
    <w:p w14:paraId="5028F402" w14:textId="77777777" w:rsidR="007E04EE" w:rsidRDefault="007E04EE" w:rsidP="007867D5">
      <w:pPr>
        <w:pStyle w:val="ART"/>
      </w:pPr>
      <w:r>
        <w:t>MOISTURE AND MOLD CONTROL</w:t>
      </w:r>
    </w:p>
    <w:p w14:paraId="4E25C997" w14:textId="77777777" w:rsidR="007729C5" w:rsidRDefault="007729C5" w:rsidP="007867D5">
      <w:pPr>
        <w:pStyle w:val="CMT"/>
      </w:pPr>
      <w:r>
        <w:t xml:space="preserve"> Editor’s Note:  This is a general guide only; develop specific procedures for each project.</w:t>
      </w:r>
    </w:p>
    <w:p w14:paraId="1AB39008" w14:textId="77777777" w:rsidR="007E04EE" w:rsidRDefault="00A53CA1" w:rsidP="007867D5">
      <w:pPr>
        <w:pStyle w:val="PR1"/>
      </w:pPr>
      <w:r>
        <w:t>General</w:t>
      </w:r>
      <w:r w:rsidR="007E04EE">
        <w:t xml:space="preserve">: </w:t>
      </w:r>
      <w:r w:rsidR="00020B2E">
        <w:t>Protect materials</w:t>
      </w:r>
      <w:r w:rsidR="007E04EE">
        <w:t xml:space="preserve"> as follows:</w:t>
      </w:r>
    </w:p>
    <w:p w14:paraId="75A94524" w14:textId="77777777" w:rsidR="00B0601D" w:rsidRDefault="007E04EE" w:rsidP="007867D5">
      <w:pPr>
        <w:pStyle w:val="PR2"/>
      </w:pPr>
      <w:r>
        <w:t>Do not load or install drywall</w:t>
      </w:r>
      <w:r w:rsidR="0056310D">
        <w:t xml:space="preserve">, </w:t>
      </w:r>
      <w:r>
        <w:t xml:space="preserve">other porous materials </w:t>
      </w:r>
      <w:r w:rsidR="0056310D">
        <w:t xml:space="preserve">and </w:t>
      </w:r>
      <w:r>
        <w:t xml:space="preserve">components, </w:t>
      </w:r>
      <w:r w:rsidR="0056310D">
        <w:t xml:space="preserve">and </w:t>
      </w:r>
      <w:r>
        <w:t>items with high organic content into partially enclosed building.</w:t>
      </w:r>
    </w:p>
    <w:p w14:paraId="79CE65CB" w14:textId="77777777" w:rsidR="00B0601D" w:rsidRDefault="007E04EE" w:rsidP="007867D5">
      <w:pPr>
        <w:pStyle w:val="PR2"/>
      </w:pPr>
      <w:r>
        <w:t>Keep interior spaces clean and protected from water damage</w:t>
      </w:r>
      <w:r w:rsidR="00260361">
        <w:t>; p</w:t>
      </w:r>
      <w:r>
        <w:t>eriodically collect and remove waste containing cellulose or other organic matter.</w:t>
      </w:r>
    </w:p>
    <w:p w14:paraId="7E24165A" w14:textId="77777777" w:rsidR="00B0601D" w:rsidRDefault="007E04EE" w:rsidP="007867D5">
      <w:pPr>
        <w:pStyle w:val="PR2"/>
      </w:pPr>
      <w:r>
        <w:t xml:space="preserve">Comply with manufacturer's written instructions </w:t>
      </w:r>
      <w:r w:rsidR="0056310D">
        <w:t xml:space="preserve">for storage of products with respect to </w:t>
      </w:r>
      <w:r>
        <w:t xml:space="preserve">temperature, relative humidity, and water </w:t>
      </w:r>
      <w:r w:rsidR="0056310D">
        <w:t xml:space="preserve">exposure </w:t>
      </w:r>
      <w:r>
        <w:t>limits.</w:t>
      </w:r>
    </w:p>
    <w:p w14:paraId="497A7368" w14:textId="77777777" w:rsidR="007E04EE" w:rsidRDefault="00020B2E" w:rsidP="007867D5">
      <w:pPr>
        <w:pStyle w:val="PR2"/>
      </w:pPr>
      <w:r>
        <w:t>Document visible signs of mold and mildew that may appear during construction.  Report findings in writing to Owner and Architect.</w:t>
      </w:r>
      <w:r w:rsidR="007E04EE">
        <w:t xml:space="preserve"> </w:t>
      </w:r>
    </w:p>
    <w:p w14:paraId="79AA283B" w14:textId="77777777" w:rsidR="00E20651" w:rsidRDefault="00E20651" w:rsidP="007867D5">
      <w:pPr>
        <w:pStyle w:val="ART"/>
      </w:pPr>
      <w:r>
        <w:t>CONSTRUCTION IAQ MANAGEMENT DURING CONSTRUCTION</w:t>
      </w:r>
    </w:p>
    <w:p w14:paraId="0FD65C44" w14:textId="3955BF56" w:rsidR="000F4F58" w:rsidRDefault="000F4F58" w:rsidP="007867D5">
      <w:pPr>
        <w:pStyle w:val="CMT"/>
      </w:pPr>
      <w:r>
        <w:t xml:space="preserve">Editor’s Note:  </w:t>
      </w:r>
      <w:r w:rsidR="003679E5">
        <w:t xml:space="preserve">The procedures indicated below are </w:t>
      </w:r>
      <w:r w:rsidR="00FA20A5">
        <w:t xml:space="preserve">intended </w:t>
      </w:r>
      <w:r w:rsidR="003B3B04">
        <w:t xml:space="preserve">to </w:t>
      </w:r>
      <w:r w:rsidR="003679E5">
        <w:t xml:space="preserve">ensure that the project site will </w:t>
      </w:r>
      <w:r w:rsidR="0056310D">
        <w:t>remain</w:t>
      </w:r>
      <w:r w:rsidR="003679E5">
        <w:t xml:space="preserve"> clean during the construction process</w:t>
      </w:r>
      <w:r w:rsidR="003B3B04">
        <w:t xml:space="preserve"> and</w:t>
      </w:r>
      <w:r w:rsidR="003679E5">
        <w:t xml:space="preserve"> to avoid </w:t>
      </w:r>
      <w:r w:rsidR="0056310D">
        <w:t xml:space="preserve">the contamination of </w:t>
      </w:r>
      <w:r w:rsidR="003679E5">
        <w:t xml:space="preserve">materials as they are installed.  </w:t>
      </w:r>
      <w:r w:rsidR="001D1B44" w:rsidRPr="00191FCF">
        <w:t xml:space="preserve">Construction IAQ </w:t>
      </w:r>
      <w:r w:rsidR="001D1B44">
        <w:t xml:space="preserve">management </w:t>
      </w:r>
      <w:r w:rsidR="001D1B44" w:rsidRPr="00191FCF">
        <w:t xml:space="preserve">requirements </w:t>
      </w:r>
      <w:r w:rsidR="001D1B44">
        <w:t xml:space="preserve">specified below </w:t>
      </w:r>
      <w:r w:rsidR="001D1B44" w:rsidRPr="00191FCF">
        <w:t xml:space="preserve">are based upon practices described in </w:t>
      </w:r>
      <w:r w:rsidR="001D1B44">
        <w:t>Sheet Metal and Air Conditioning Contractors National Association (</w:t>
      </w:r>
      <w:r w:rsidR="001D1B44" w:rsidRPr="00191FCF">
        <w:t>SMACNA</w:t>
      </w:r>
      <w:r w:rsidR="001D1B44">
        <w:t>)</w:t>
      </w:r>
      <w:r w:rsidR="001D1B44" w:rsidRPr="00191FCF">
        <w:t xml:space="preserve"> </w:t>
      </w:r>
      <w:r w:rsidR="001D1B44" w:rsidRPr="001B7E63">
        <w:rPr>
          <w:i/>
          <w:iCs/>
        </w:rPr>
        <w:t xml:space="preserve">IAQ Guidelines for Occupied Buildings under Construction </w:t>
      </w:r>
      <w:r w:rsidR="005A61BA">
        <w:t>(latest version)</w:t>
      </w:r>
      <w:r w:rsidR="001D1B44" w:rsidRPr="00191FCF">
        <w:t xml:space="preserve">. </w:t>
      </w:r>
      <w:r w:rsidR="001D1B44">
        <w:t xml:space="preserve"> </w:t>
      </w:r>
      <w:r>
        <w:t>Retain requirements that apply</w:t>
      </w:r>
      <w:r w:rsidR="00A205E7">
        <w:t xml:space="preserve"> based on the </w:t>
      </w:r>
      <w:r w:rsidR="00581891">
        <w:t>size and type of</w:t>
      </w:r>
      <w:r>
        <w:t xml:space="preserve"> project.  Modify references to HVAC requirements according to </w:t>
      </w:r>
      <w:r w:rsidR="000C4DE9">
        <w:t xml:space="preserve">type and size of </w:t>
      </w:r>
      <w:r w:rsidR="003B3B04">
        <w:t xml:space="preserve">Project </w:t>
      </w:r>
      <w:r>
        <w:t xml:space="preserve">systems.  </w:t>
      </w:r>
      <w:r w:rsidR="000C4DE9">
        <w:t xml:space="preserve">Retain HVAC requirements for Mid-Rise Multi-Family projects with building HVAC systems installed.  </w:t>
      </w:r>
      <w:r>
        <w:t xml:space="preserve">Retain Pathway Interruption, Housekeeping, and Scheduling </w:t>
      </w:r>
      <w:r w:rsidR="00FB0020">
        <w:t xml:space="preserve">and edit paragraphs </w:t>
      </w:r>
      <w:r>
        <w:t>to facilitate</w:t>
      </w:r>
      <w:r w:rsidR="00581891">
        <w:t xml:space="preserve"> appropriate level of</w:t>
      </w:r>
      <w:r>
        <w:t xml:space="preserve"> IAQ management for </w:t>
      </w:r>
      <w:r w:rsidR="003B3B04">
        <w:t>Project</w:t>
      </w:r>
      <w:r>
        <w:t>.</w:t>
      </w:r>
      <w:r w:rsidR="00D108A4">
        <w:t xml:space="preserve">  </w:t>
      </w:r>
    </w:p>
    <w:p w14:paraId="2D9E67DC" w14:textId="77777777" w:rsidR="00E20651" w:rsidRDefault="00E20651" w:rsidP="007867D5">
      <w:pPr>
        <w:pStyle w:val="PR1"/>
      </w:pPr>
      <w:r>
        <w:t>Construction IAQ Management Plan During Construction:  General IAQ Plan requirements during construction include:</w:t>
      </w:r>
    </w:p>
    <w:p w14:paraId="31031D84" w14:textId="77777777" w:rsidR="000517E1" w:rsidRDefault="000517E1" w:rsidP="007867D5">
      <w:pPr>
        <w:pStyle w:val="PR2"/>
      </w:pPr>
      <w:r>
        <w:t>Attached Garage Pollutant Protection.</w:t>
      </w:r>
    </w:p>
    <w:p w14:paraId="5F902C70" w14:textId="77777777" w:rsidR="00B0601D" w:rsidRDefault="00E20651" w:rsidP="007867D5">
      <w:pPr>
        <w:pStyle w:val="PR2"/>
      </w:pPr>
      <w:r>
        <w:t>HVAC protection.</w:t>
      </w:r>
    </w:p>
    <w:p w14:paraId="3905BC93" w14:textId="77777777" w:rsidR="00B0601D" w:rsidRDefault="00E20651" w:rsidP="007867D5">
      <w:pPr>
        <w:pStyle w:val="PR2"/>
      </w:pPr>
      <w:r>
        <w:t>Source control.</w:t>
      </w:r>
    </w:p>
    <w:p w14:paraId="2C201EDB" w14:textId="77777777" w:rsidR="00B0601D" w:rsidRDefault="00E20651" w:rsidP="007867D5">
      <w:pPr>
        <w:pStyle w:val="PR2"/>
      </w:pPr>
      <w:r>
        <w:t>Pathway interruption.</w:t>
      </w:r>
    </w:p>
    <w:p w14:paraId="674C8E06" w14:textId="77777777" w:rsidR="00B0601D" w:rsidRDefault="00E20651" w:rsidP="007867D5">
      <w:pPr>
        <w:pStyle w:val="PR2"/>
      </w:pPr>
      <w:r>
        <w:t>Housekeeping.</w:t>
      </w:r>
    </w:p>
    <w:p w14:paraId="7EF16D8B" w14:textId="77777777" w:rsidR="00B0601D" w:rsidRDefault="00E20651" w:rsidP="007867D5">
      <w:pPr>
        <w:pStyle w:val="PR2"/>
      </w:pPr>
      <w:r>
        <w:t>Scheduling.</w:t>
      </w:r>
    </w:p>
    <w:p w14:paraId="0F0466E2" w14:textId="77777777" w:rsidR="000517E1" w:rsidRPr="00FB0020" w:rsidRDefault="000517E1" w:rsidP="007867D5">
      <w:pPr>
        <w:pStyle w:val="CMT"/>
      </w:pPr>
      <w:r>
        <w:t>Editor’s Note:  Retain below if Project includes a garage attached to the living quarters of single family home.</w:t>
      </w:r>
    </w:p>
    <w:p w14:paraId="36EBA978" w14:textId="77777777" w:rsidR="000517E1" w:rsidRPr="00FB0020" w:rsidRDefault="000517E1" w:rsidP="007867D5">
      <w:pPr>
        <w:pStyle w:val="PR1"/>
      </w:pPr>
      <w:r>
        <w:t xml:space="preserve">Attached </w:t>
      </w:r>
      <w:r w:rsidRPr="00FB0020">
        <w:t>Garage Pollutant Protection, General:</w:t>
      </w:r>
    </w:p>
    <w:p w14:paraId="09D1315F" w14:textId="2A442F40" w:rsidR="000517E1" w:rsidRDefault="000517E1" w:rsidP="007867D5">
      <w:pPr>
        <w:pStyle w:val="PR2"/>
      </w:pPr>
      <w:r w:rsidRPr="00FB0020">
        <w:t xml:space="preserve">Enclose garage with air barrier </w:t>
      </w:r>
      <w:r>
        <w:t>to complete</w:t>
      </w:r>
      <w:r w:rsidR="00C65CE1">
        <w:t>ly</w:t>
      </w:r>
      <w:r>
        <w:t xml:space="preserve"> separate </w:t>
      </w:r>
      <w:r w:rsidRPr="00FB0020">
        <w:t>the habitable are</w:t>
      </w:r>
      <w:r>
        <w:t>a</w:t>
      </w:r>
      <w:r w:rsidRPr="00FB0020">
        <w:t xml:space="preserve"> of the home</w:t>
      </w:r>
      <w:r>
        <w:t xml:space="preserve"> from the garage</w:t>
      </w:r>
      <w:r w:rsidRPr="00FB0020">
        <w:t>.</w:t>
      </w:r>
      <w:r>
        <w:t xml:space="preserve">  The air barrier material shall be installed from the floor slab to the structure above.  Gypsum board assemblies shall be sealed at the top and bottom with sealants that comply with the IAQ requirements of this Section.</w:t>
      </w:r>
    </w:p>
    <w:p w14:paraId="395FB5A5" w14:textId="77777777" w:rsidR="000517E1" w:rsidRPr="00FB0020" w:rsidRDefault="000517E1" w:rsidP="007867D5">
      <w:pPr>
        <w:pStyle w:val="PR2"/>
      </w:pPr>
      <w:r>
        <w:t>Install weather stripping or gasket and threshold on all passageways between living space and attached garage.</w:t>
      </w:r>
    </w:p>
    <w:p w14:paraId="27C85442" w14:textId="299A1598" w:rsidR="000517E1" w:rsidRDefault="000517E1" w:rsidP="007867D5">
      <w:pPr>
        <w:pStyle w:val="PR2"/>
      </w:pPr>
      <w:r w:rsidRPr="00FB0020">
        <w:t xml:space="preserve">Provide an exhaust fan with automatic timer controls linked to an occupant sensor, light switch, garage door opening mechanism, a carbon monoxide sensor that turns on the fan </w:t>
      </w:r>
      <w:r w:rsidRPr="00FB0020">
        <w:lastRenderedPageBreak/>
        <w:t xml:space="preserve">when the </w:t>
      </w:r>
      <w:r>
        <w:t>garage</w:t>
      </w:r>
      <w:r w:rsidRPr="00FB0020">
        <w:t xml:space="preserve"> CO</w:t>
      </w:r>
      <w:r w:rsidRPr="00FB0020">
        <w:rPr>
          <w:vertAlign w:val="subscript"/>
        </w:rPr>
        <w:t xml:space="preserve"> </w:t>
      </w:r>
      <w:r w:rsidRPr="00FB0020">
        <w:t>level reach</w:t>
      </w:r>
      <w:r>
        <w:t>es</w:t>
      </w:r>
      <w:r w:rsidRPr="00FB0020">
        <w:t xml:space="preserve"> 35</w:t>
      </w:r>
      <w:r>
        <w:t xml:space="preserve"> </w:t>
      </w:r>
      <w:r w:rsidRPr="00FB0020">
        <w:t>ppm, or equivalent.</w:t>
      </w:r>
      <w:r>
        <w:t xml:space="preserve"> Fan shall be vented directly outdoors, have a minimum capacity of </w:t>
      </w:r>
      <w:r w:rsidR="00F325EB">
        <w:t xml:space="preserve">75 </w:t>
      </w:r>
      <w:r>
        <w:t xml:space="preserve">cfm and be capable of ventilating garage space at </w:t>
      </w:r>
      <w:r w:rsidR="00C65CE1">
        <w:t>three</w:t>
      </w:r>
      <w:r>
        <w:t xml:space="preserve"> air changes per hour for a typical </w:t>
      </w:r>
      <w:r w:rsidR="007729C5">
        <w:t>two car garage</w:t>
      </w:r>
      <w:r>
        <w:t>. Fan shall operate for at least one hour after event triggering fan operation.</w:t>
      </w:r>
    </w:p>
    <w:p w14:paraId="4B552F3C" w14:textId="77777777" w:rsidR="00E20651" w:rsidRDefault="00E20651" w:rsidP="007867D5">
      <w:pPr>
        <w:pStyle w:val="PR1"/>
      </w:pPr>
      <w:r>
        <w:t>HVAC Protection:</w:t>
      </w:r>
    </w:p>
    <w:p w14:paraId="1E01E0AC" w14:textId="77777777" w:rsidR="00B0601D" w:rsidRDefault="00E20651" w:rsidP="007867D5">
      <w:pPr>
        <w:pStyle w:val="PR2"/>
      </w:pPr>
      <w:r>
        <w:t xml:space="preserve">Use of permanent heating, cooling, and ventilating systems during construction period </w:t>
      </w:r>
      <w:r w:rsidR="00A205E7">
        <w:t xml:space="preserve">is </w:t>
      </w:r>
      <w:r>
        <w:t>not permitted.</w:t>
      </w:r>
    </w:p>
    <w:p w14:paraId="4914F216" w14:textId="77777777" w:rsidR="00B0601D" w:rsidRDefault="00D108A4" w:rsidP="007867D5">
      <w:pPr>
        <w:pStyle w:val="PR2"/>
      </w:pPr>
      <w:r>
        <w:t xml:space="preserve">Comply with SCMACNA requirements for </w:t>
      </w:r>
      <w:r w:rsidR="00A205E7">
        <w:t xml:space="preserve">protection of </w:t>
      </w:r>
      <w:r w:rsidR="00E20651">
        <w:t>air handling and distribution equipment and air supply and return ducting during construction.</w:t>
      </w:r>
    </w:p>
    <w:p w14:paraId="43981A65" w14:textId="77777777" w:rsidR="00B0601D" w:rsidRDefault="00E20651" w:rsidP="007867D5">
      <w:pPr>
        <w:pStyle w:val="PR2"/>
      </w:pPr>
      <w:r>
        <w:t>Adequately cover and protect exposed air inlets and outlets, openings, grilles, ducts, plenums, as required to prevent water, moisture, and other contaminant intrusion.</w:t>
      </w:r>
    </w:p>
    <w:p w14:paraId="3D397DD1" w14:textId="77777777" w:rsidR="00B0601D" w:rsidRDefault="00E20651" w:rsidP="007867D5">
      <w:pPr>
        <w:pStyle w:val="PR2"/>
      </w:pPr>
      <w:r>
        <w:t>Apply protection immediately after installation of equipment and ducting.</w:t>
      </w:r>
    </w:p>
    <w:p w14:paraId="619C8EB2" w14:textId="61337933" w:rsidR="00B0601D" w:rsidRDefault="00E20651" w:rsidP="007867D5">
      <w:pPr>
        <w:pStyle w:val="PR2"/>
      </w:pPr>
      <w:r>
        <w:t xml:space="preserve">Ducting runs that require more than a single day to install shall be protected at the end of each day’s </w:t>
      </w:r>
      <w:r w:rsidR="00CC1EEE">
        <w:t>work</w:t>
      </w:r>
      <w:r>
        <w:t>.</w:t>
      </w:r>
    </w:p>
    <w:p w14:paraId="018E8DA0" w14:textId="77777777" w:rsidR="00B0601D" w:rsidRDefault="00E20651" w:rsidP="007867D5">
      <w:pPr>
        <w:pStyle w:val="PR2"/>
      </w:pPr>
      <w:r>
        <w:t>Replace air filtration media immediately prior to occupancy.</w:t>
      </w:r>
    </w:p>
    <w:p w14:paraId="316E7E80" w14:textId="77777777" w:rsidR="00E20651" w:rsidRDefault="00E20651" w:rsidP="007867D5">
      <w:pPr>
        <w:pStyle w:val="PR1"/>
      </w:pPr>
      <w:r>
        <w:t>Pathway Interruption:</w:t>
      </w:r>
    </w:p>
    <w:p w14:paraId="76F7CF16" w14:textId="77777777" w:rsidR="00B0601D" w:rsidRDefault="00E20651" w:rsidP="007867D5">
      <w:pPr>
        <w:pStyle w:val="PR2"/>
      </w:pPr>
      <w:r>
        <w:t>All openings within the designated work area shall be sealed while wet work is being performed</w:t>
      </w:r>
      <w:r w:rsidR="001D1B44">
        <w:t xml:space="preserve"> to prevent contamination in adjacent areas</w:t>
      </w:r>
      <w:r>
        <w:t>.</w:t>
      </w:r>
    </w:p>
    <w:p w14:paraId="1BD06FFD" w14:textId="77777777" w:rsidR="00B0601D" w:rsidRDefault="00E20651" w:rsidP="007867D5">
      <w:pPr>
        <w:pStyle w:val="PR2"/>
      </w:pPr>
      <w:r>
        <w:t>Temporary ventilation shall be exhausted to the outside of the building.</w:t>
      </w:r>
    </w:p>
    <w:p w14:paraId="2664ED17" w14:textId="77777777" w:rsidR="00E20651" w:rsidRDefault="00E20651" w:rsidP="007867D5">
      <w:pPr>
        <w:pStyle w:val="PR1"/>
      </w:pPr>
      <w:r>
        <w:t>Housekeeping:</w:t>
      </w:r>
    </w:p>
    <w:p w14:paraId="08E85D55" w14:textId="77777777" w:rsidR="00B0601D" w:rsidRDefault="00E20651" w:rsidP="007867D5">
      <w:pPr>
        <w:pStyle w:val="PR2"/>
      </w:pPr>
      <w:r>
        <w:t>Provide temporary ventilation during construction to minimize accumulation of dust fumes, vapors, or gases in the building.</w:t>
      </w:r>
    </w:p>
    <w:p w14:paraId="55512E6A" w14:textId="77777777" w:rsidR="00B0601D" w:rsidRDefault="00E20651" w:rsidP="007867D5">
      <w:pPr>
        <w:pStyle w:val="PR2"/>
      </w:pPr>
      <w:r>
        <w:t>Continuously ventilate during and after installation of materials that emit VOCs until emissions dissipate:</w:t>
      </w:r>
    </w:p>
    <w:p w14:paraId="266E7C9D" w14:textId="77777777" w:rsidR="00B0601D" w:rsidRDefault="00E20651" w:rsidP="007867D5">
      <w:pPr>
        <w:pStyle w:val="PR3"/>
      </w:pPr>
      <w:r>
        <w:t xml:space="preserve">Period after installation shall be sufficient to dissipate odors and elevated levels of VOCs.  </w:t>
      </w:r>
      <w:r w:rsidR="00EF37C8">
        <w:t xml:space="preserve">Provide temporary ventilation for </w:t>
      </w:r>
      <w:r w:rsidR="00A205E7">
        <w:t xml:space="preserve">one </w:t>
      </w:r>
      <w:r w:rsidR="00EF37C8">
        <w:t>hour prior to, during, and for 24 hours after completion of installation of VOC emitting products.</w:t>
      </w:r>
    </w:p>
    <w:p w14:paraId="77AF6048" w14:textId="77777777" w:rsidR="00B0601D" w:rsidRDefault="00E20651" w:rsidP="007867D5">
      <w:pPr>
        <w:pStyle w:val="PR3"/>
      </w:pPr>
      <w:r>
        <w:t>Ventilate areas directly to outside, do not ventilate to other enclosed spaces.</w:t>
      </w:r>
    </w:p>
    <w:p w14:paraId="1E0DB4C7" w14:textId="55BE3FC7" w:rsidR="00B0601D" w:rsidRDefault="007729C5" w:rsidP="007867D5">
      <w:pPr>
        <w:pStyle w:val="PR3"/>
      </w:pPr>
      <w:r>
        <w:t>V</w:t>
      </w:r>
      <w:r w:rsidR="00E20651">
        <w:t>entilate via open windows and temporary fans that provide no less than three air changes per hour.</w:t>
      </w:r>
    </w:p>
    <w:p w14:paraId="0EDCEB45" w14:textId="77777777" w:rsidR="00B0601D" w:rsidRDefault="001E4D52" w:rsidP="007867D5">
      <w:pPr>
        <w:pStyle w:val="PR2"/>
      </w:pPr>
      <w:r>
        <w:t>Use dust collection attachments on saws, sanders, and other power tools that generate dust particles.</w:t>
      </w:r>
    </w:p>
    <w:p w14:paraId="4C3A79A7" w14:textId="77777777" w:rsidR="00B0601D" w:rsidRDefault="00E20651" w:rsidP="007867D5">
      <w:pPr>
        <w:pStyle w:val="PR2"/>
      </w:pPr>
      <w:r>
        <w:t>Suppress dust with wetting agents or sweeping compounds.</w:t>
      </w:r>
    </w:p>
    <w:p w14:paraId="7A59CF5C" w14:textId="77777777" w:rsidR="00B0601D" w:rsidRDefault="00E20651" w:rsidP="007867D5">
      <w:pPr>
        <w:pStyle w:val="PR2"/>
      </w:pPr>
      <w:r>
        <w:t>Clean-up dust using a wet rag or damp mop.</w:t>
      </w:r>
    </w:p>
    <w:p w14:paraId="6274F880" w14:textId="77777777" w:rsidR="00B0601D" w:rsidRDefault="00E20651" w:rsidP="007867D5">
      <w:pPr>
        <w:pStyle w:val="PR2"/>
      </w:pPr>
      <w:r>
        <w:t>Increase the cleaning frequency when dust build-up is noted.</w:t>
      </w:r>
    </w:p>
    <w:p w14:paraId="3C6E3EE9" w14:textId="77777777" w:rsidR="00B0601D" w:rsidRDefault="00E20651" w:rsidP="007867D5">
      <w:pPr>
        <w:pStyle w:val="PR2"/>
      </w:pPr>
      <w:r>
        <w:t>Remove spills or excess applications of solvent-containing products as soon as possible.</w:t>
      </w:r>
    </w:p>
    <w:p w14:paraId="6C704683" w14:textId="77777777" w:rsidR="00B0601D" w:rsidRDefault="00E20651" w:rsidP="007867D5">
      <w:pPr>
        <w:pStyle w:val="PR2"/>
      </w:pPr>
      <w:r>
        <w:t>Remove accumulated water and keep work areas as dry as possible.</w:t>
      </w:r>
    </w:p>
    <w:p w14:paraId="2A4DEF93" w14:textId="77777777" w:rsidR="00B0601D" w:rsidRDefault="00E20651" w:rsidP="007867D5">
      <w:pPr>
        <w:pStyle w:val="PR2"/>
      </w:pPr>
      <w:r>
        <w:t>Store and keep volatile liquid containers closed when the container is inside of the building and not in use.</w:t>
      </w:r>
    </w:p>
    <w:p w14:paraId="0AECA81B" w14:textId="77777777" w:rsidR="00B0601D" w:rsidRDefault="00E20651" w:rsidP="007867D5">
      <w:pPr>
        <w:pStyle w:val="PR2"/>
      </w:pPr>
      <w:r>
        <w:t>HEPA vacuuming and duct cleaning.</w:t>
      </w:r>
    </w:p>
    <w:p w14:paraId="33F9D526" w14:textId="77777777" w:rsidR="00B0601D" w:rsidRDefault="00E20651" w:rsidP="007867D5">
      <w:pPr>
        <w:pStyle w:val="PR3"/>
      </w:pPr>
      <w:r>
        <w:t>Vacuum carpeted and soft surfaces with a high efficiency particulate arrestor (HEPA) vacuum.</w:t>
      </w:r>
    </w:p>
    <w:p w14:paraId="1272D545" w14:textId="77777777" w:rsidR="00B0601D" w:rsidRDefault="00E20651" w:rsidP="007867D5">
      <w:pPr>
        <w:pStyle w:val="PR3"/>
      </w:pPr>
      <w:r>
        <w:t>If ducts contain dust and dirt, clean them using a HEPA vacuum immediately before substantial completion and prior to using the ducts to circulate air.</w:t>
      </w:r>
    </w:p>
    <w:p w14:paraId="5A6C6FF6" w14:textId="7EA19EB7" w:rsidR="00B0601D" w:rsidRDefault="00E20651" w:rsidP="007867D5">
      <w:pPr>
        <w:pStyle w:val="PR3"/>
      </w:pPr>
      <w:r>
        <w:t xml:space="preserve">Oil film on sheet metal should be removed before shipment to site.  </w:t>
      </w:r>
      <w:r w:rsidR="00823491">
        <w:t>D</w:t>
      </w:r>
      <w:r>
        <w:t xml:space="preserve">ucts </w:t>
      </w:r>
      <w:r w:rsidR="0065536F">
        <w:t xml:space="preserve">shall </w:t>
      </w:r>
      <w:r>
        <w:t xml:space="preserve">be inspected to confirm that no oil </w:t>
      </w:r>
      <w:r w:rsidR="001E4D52">
        <w:t>film is present.  Remove oil that may be remaining</w:t>
      </w:r>
      <w:r>
        <w:t>.</w:t>
      </w:r>
    </w:p>
    <w:p w14:paraId="0D101D8B" w14:textId="6BC99856" w:rsidR="00F13B57" w:rsidRDefault="00E20651" w:rsidP="007867D5">
      <w:pPr>
        <w:pStyle w:val="PR2"/>
      </w:pPr>
      <w:r>
        <w:lastRenderedPageBreak/>
        <w:t>Use nontoxic cleaning materials and procedures</w:t>
      </w:r>
      <w:r w:rsidR="00A53CA1">
        <w:t>.</w:t>
      </w:r>
    </w:p>
    <w:p w14:paraId="76C12C33" w14:textId="26875AE4" w:rsidR="00B0601D" w:rsidRDefault="00F13B57" w:rsidP="007867D5">
      <w:r>
        <w:br w:type="page"/>
      </w:r>
    </w:p>
    <w:p w14:paraId="3E4A038F" w14:textId="77777777" w:rsidR="00E20651" w:rsidRDefault="00E20651" w:rsidP="007867D5">
      <w:pPr>
        <w:pStyle w:val="PR1"/>
      </w:pPr>
      <w:r>
        <w:lastRenderedPageBreak/>
        <w:t>Scheduling:</w:t>
      </w:r>
    </w:p>
    <w:p w14:paraId="38776947" w14:textId="77777777" w:rsidR="00B0601D" w:rsidRDefault="00E20651" w:rsidP="007867D5">
      <w:pPr>
        <w:pStyle w:val="PR2"/>
      </w:pPr>
      <w:r>
        <w:t>General:  Comply with manufacturer’s instructions for appropriate drying times.</w:t>
      </w:r>
    </w:p>
    <w:p w14:paraId="580EAAF3" w14:textId="77777777" w:rsidR="00B0601D" w:rsidRDefault="00E20651" w:rsidP="007867D5">
      <w:pPr>
        <w:pStyle w:val="PR2"/>
      </w:pPr>
      <w:r>
        <w:t>Protect installed absorbent materials with recycled or recyclable materials.</w:t>
      </w:r>
    </w:p>
    <w:p w14:paraId="45C1042B" w14:textId="77777777" w:rsidR="00B0601D" w:rsidRDefault="00E20651" w:rsidP="007867D5">
      <w:pPr>
        <w:pStyle w:val="PR2"/>
      </w:pPr>
      <w:r>
        <w:t>Where odorous and/or high VOC-emitting products are applied on site, apply them before installation of porous and fibrous materials.  Where this is not possible, protect porous materials with polyethylene vapor retarders.</w:t>
      </w:r>
    </w:p>
    <w:p w14:paraId="18C9C1EF" w14:textId="77777777" w:rsidR="00B0601D" w:rsidRDefault="00E20651" w:rsidP="007867D5">
      <w:pPr>
        <w:pStyle w:val="PR2"/>
      </w:pPr>
      <w:r>
        <w:t>Insure that wet applied interior finish materials, such as paints, adhesives, sealants, coatings, finishes, and spray-applied materials, such as structural fireproofing, are properly and fully cured before installing other finish materials over them.</w:t>
      </w:r>
    </w:p>
    <w:p w14:paraId="0F21BF46" w14:textId="77777777" w:rsidR="00B0601D" w:rsidRDefault="00E20651" w:rsidP="007867D5">
      <w:pPr>
        <w:pStyle w:val="PR2"/>
      </w:pPr>
      <w:r>
        <w:t>Install carpets and furnishings after all other interior finish materials have been applied and fully cured.</w:t>
      </w:r>
    </w:p>
    <w:p w14:paraId="1CB3A4EB" w14:textId="77777777" w:rsidR="00B0601D" w:rsidRDefault="00E20651" w:rsidP="007867D5">
      <w:pPr>
        <w:pStyle w:val="PR2"/>
      </w:pPr>
      <w:r>
        <w:t xml:space="preserve">Provide adequate ventilation of packaged dry products prior to installation.  </w:t>
      </w:r>
      <w:r w:rsidR="00581891">
        <w:t>If space is available, r</w:t>
      </w:r>
      <w:r>
        <w:t>emove from packaging and ventilate in a secure, dry, well-ventilated space free from strong contaminant sources and residues.</w:t>
      </w:r>
    </w:p>
    <w:p w14:paraId="32CA7F99" w14:textId="77777777" w:rsidR="00B0601D" w:rsidRDefault="00E20651" w:rsidP="007867D5">
      <w:pPr>
        <w:pStyle w:val="PR2"/>
      </w:pPr>
      <w:r>
        <w:t>Complete interior finish material installation no less than 14 days prior to Substantial Completion to allow for building flush-out.</w:t>
      </w:r>
    </w:p>
    <w:p w14:paraId="1D8DDB37" w14:textId="77777777" w:rsidR="00E20651" w:rsidRDefault="00E20651" w:rsidP="007867D5">
      <w:pPr>
        <w:pStyle w:val="ART"/>
      </w:pPr>
      <w:r>
        <w:t>CONSTRUCTION IAQ MANAGEMENT PLAN BEFORE OCCUPANCY</w:t>
      </w:r>
    </w:p>
    <w:p w14:paraId="661F7D28" w14:textId="5F16D1B7" w:rsidR="00A562E9" w:rsidRDefault="00A562E9" w:rsidP="007867D5">
      <w:pPr>
        <w:pStyle w:val="CMT"/>
      </w:pPr>
      <w:r>
        <w:t xml:space="preserve">Editor’s Note:  </w:t>
      </w:r>
      <w:r w:rsidR="00FA20A5">
        <w:t xml:space="preserve">The procedures indicated below are intended </w:t>
      </w:r>
      <w:r w:rsidR="00581891">
        <w:t xml:space="preserve">to </w:t>
      </w:r>
      <w:r w:rsidR="00FA20A5">
        <w:t>remove contaminants</w:t>
      </w:r>
      <w:r w:rsidR="003E5148">
        <w:t xml:space="preserve"> that may be present due to the construction process</w:t>
      </w:r>
      <w:r w:rsidR="00FA20A5">
        <w:t xml:space="preserve">.  </w:t>
      </w:r>
      <w:r>
        <w:t>Edit following paragraph according to project design</w:t>
      </w:r>
      <w:r w:rsidR="00BF7457">
        <w:t xml:space="preserve">, or delete Article if </w:t>
      </w:r>
      <w:r w:rsidR="0065536F">
        <w:t xml:space="preserve">it is not required by </w:t>
      </w:r>
      <w:r w:rsidR="00BF7457">
        <w:t>Owner</w:t>
      </w:r>
      <w:r>
        <w:t xml:space="preserve">.  </w:t>
      </w:r>
      <w:r w:rsidR="00BF7457">
        <w:t xml:space="preserve">Note that the following is scaled down for </w:t>
      </w:r>
      <w:r w:rsidR="00E450FB">
        <w:t xml:space="preserve">multi family </w:t>
      </w:r>
      <w:r w:rsidR="009665FF">
        <w:t>low-rise residential</w:t>
      </w:r>
      <w:r w:rsidR="00BF7457">
        <w:t xml:space="preserve"> application</w:t>
      </w:r>
      <w:r w:rsidR="0065536F">
        <w:t xml:space="preserve">.  </w:t>
      </w:r>
    </w:p>
    <w:p w14:paraId="61115FDD" w14:textId="12756C00" w:rsidR="00E20651" w:rsidRDefault="00E20651" w:rsidP="007867D5">
      <w:pPr>
        <w:pStyle w:val="PR1"/>
      </w:pPr>
      <w:r>
        <w:t xml:space="preserve">Construction </w:t>
      </w:r>
      <w:r w:rsidR="00EF37C8">
        <w:t>IAQ</w:t>
      </w:r>
      <w:r>
        <w:t xml:space="preserve"> Testing Plan Before Occupancy</w:t>
      </w:r>
      <w:r w:rsidR="0065536F">
        <w:t xml:space="preserve">:  </w:t>
      </w:r>
      <w:r>
        <w:t>Comply with the following requirements:</w:t>
      </w:r>
    </w:p>
    <w:p w14:paraId="7297968C" w14:textId="77777777" w:rsidR="00B0601D" w:rsidRDefault="00E20651" w:rsidP="007867D5">
      <w:pPr>
        <w:pStyle w:val="PR2"/>
      </w:pPr>
      <w:r>
        <w:t>After construction ends, prior to occupancy and with all interior finishes installed, perform a building flush-out.</w:t>
      </w:r>
    </w:p>
    <w:p w14:paraId="3C775CF7" w14:textId="77777777" w:rsidR="00B0601D" w:rsidRDefault="00E20651" w:rsidP="007867D5">
      <w:pPr>
        <w:pStyle w:val="PR2"/>
      </w:pPr>
      <w:r>
        <w:t xml:space="preserve">Flush for </w:t>
      </w:r>
      <w:r w:rsidR="007729C5">
        <w:t xml:space="preserve">at least </w:t>
      </w:r>
      <w:r>
        <w:t>48 hours total; the hours may be non-consecutive if necessary.</w:t>
      </w:r>
    </w:p>
    <w:p w14:paraId="4A363CFB" w14:textId="11A38FFD" w:rsidR="00B0601D" w:rsidRDefault="00E20651" w:rsidP="007867D5">
      <w:pPr>
        <w:pStyle w:val="PR2"/>
      </w:pPr>
      <w:r>
        <w:t xml:space="preserve">Keep operable windows and interior doors open and run HVAC system fan </w:t>
      </w:r>
      <w:r w:rsidR="003C4066">
        <w:t xml:space="preserve">(or large portable commercial fan) </w:t>
      </w:r>
      <w:r>
        <w:t xml:space="preserve">continuously, or flush home with HVAC system fans and exhaust fans </w:t>
      </w:r>
      <w:r w:rsidR="003C4066">
        <w:t xml:space="preserve">(or large portable commercial fans) </w:t>
      </w:r>
      <w:r>
        <w:t>operating continuously at the highest flow rate.</w:t>
      </w:r>
    </w:p>
    <w:p w14:paraId="1DCE4D71" w14:textId="2CDFD455" w:rsidR="00B0601D" w:rsidRDefault="00E20651" w:rsidP="007867D5">
      <w:pPr>
        <w:pStyle w:val="PR2"/>
      </w:pPr>
      <w:r>
        <w:t xml:space="preserve">Use additional temporary </w:t>
      </w:r>
      <w:r w:rsidR="0059184A">
        <w:t xml:space="preserve">large portable commercial </w:t>
      </w:r>
      <w:r>
        <w:t>fans to circulate air within the house.</w:t>
      </w:r>
    </w:p>
    <w:p w14:paraId="0E7D9CE1" w14:textId="77777777" w:rsidR="00B0601D" w:rsidRDefault="00E20651" w:rsidP="007867D5">
      <w:pPr>
        <w:pStyle w:val="PR2"/>
      </w:pPr>
      <w:r>
        <w:t xml:space="preserve">Replace air filtration media immediately prior to occupancy. </w:t>
      </w:r>
    </w:p>
    <w:p w14:paraId="03F81964" w14:textId="73FD6648" w:rsidR="00E20651" w:rsidRDefault="00953C85" w:rsidP="007867D5">
      <w:pPr>
        <w:pStyle w:val="PR2"/>
      </w:pPr>
      <w:r>
        <w:t>If</w:t>
      </w:r>
      <w:r w:rsidR="00581891">
        <w:t xml:space="preserve"> required by Owner; </w:t>
      </w:r>
      <w:r>
        <w:t xml:space="preserve">perform IAQ testing following </w:t>
      </w:r>
      <w:r w:rsidR="00581891">
        <w:t>LEED v4</w:t>
      </w:r>
      <w:r w:rsidR="00F325EB">
        <w:t xml:space="preserve"> for Interior Design and </w:t>
      </w:r>
      <w:r w:rsidR="00316C60">
        <w:t>Construction</w:t>
      </w:r>
      <w:r w:rsidR="00F325EB">
        <w:t>, Option 2 air</w:t>
      </w:r>
      <w:r w:rsidR="00581891">
        <w:t xml:space="preserve"> testing procedures, or </w:t>
      </w:r>
      <w:r w:rsidR="00F325EB">
        <w:t xml:space="preserve">alternate </w:t>
      </w:r>
      <w:r w:rsidR="00581891">
        <w:t>procedure developed by</w:t>
      </w:r>
      <w:r w:rsidR="00BE035B">
        <w:t xml:space="preserve"> qualified</w:t>
      </w:r>
      <w:r w:rsidR="00581891">
        <w:t xml:space="preserve"> </w:t>
      </w:r>
      <w:r w:rsidR="00BE035B">
        <w:t>IAQ Engineer</w:t>
      </w:r>
      <w:r w:rsidR="00581891">
        <w:t>.</w:t>
      </w:r>
    </w:p>
    <w:p w14:paraId="5FF2C6E6" w14:textId="77777777" w:rsidR="00247ADF" w:rsidRDefault="00C81E84" w:rsidP="007867D5">
      <w:pPr>
        <w:pStyle w:val="EOS"/>
      </w:pPr>
      <w:r>
        <w:t>END OF SECTION</w:t>
      </w:r>
    </w:p>
    <w:p w14:paraId="7FC560E2" w14:textId="77777777" w:rsidR="00A562E9" w:rsidRDefault="00A562E9" w:rsidP="007867D5">
      <w:pPr>
        <w:pStyle w:val="EOS"/>
      </w:pPr>
    </w:p>
    <w:p w14:paraId="5222BD8E" w14:textId="77777777" w:rsidR="00A562E9" w:rsidRDefault="00A562E9" w:rsidP="007867D5">
      <w:pPr>
        <w:pStyle w:val="EOS"/>
      </w:pPr>
      <w:r>
        <w:tab/>
      </w:r>
    </w:p>
    <w:p w14:paraId="19CEC961" w14:textId="77777777" w:rsidR="00A562E9" w:rsidRDefault="00A562E9" w:rsidP="007867D5">
      <w:r>
        <w:br w:type="page"/>
      </w:r>
    </w:p>
    <w:p w14:paraId="2D104B15" w14:textId="77777777" w:rsidR="007729C5" w:rsidRDefault="007729C5" w:rsidP="007867D5">
      <w:pPr>
        <w:pStyle w:val="CMT"/>
      </w:pPr>
      <w:r>
        <w:lastRenderedPageBreak/>
        <w:t>Editor’s Note:  Both Appendix A and B are intended to be resources for the specification writer’s further research</w:t>
      </w:r>
      <w:r w:rsidR="00B75ACA">
        <w:t xml:space="preserve"> and understanding of IAQ standards and definitions.  These Appendices should be deleted once the Section editing is completed.</w:t>
      </w:r>
    </w:p>
    <w:p w14:paraId="651D2AFC" w14:textId="77777777" w:rsidR="00A562E9" w:rsidRDefault="00B92C3C" w:rsidP="007867D5">
      <w:pPr>
        <w:pStyle w:val="EOS"/>
      </w:pPr>
      <w:r>
        <w:t>APPENDIX A</w:t>
      </w:r>
      <w:r w:rsidR="005A61BA">
        <w:t xml:space="preserve"> </w:t>
      </w:r>
      <w:r w:rsidR="00A562E9">
        <w:t>– REFERENCES</w:t>
      </w:r>
      <w:r w:rsidR="00573FCF">
        <w:t xml:space="preserve"> AND RESOURCES</w:t>
      </w:r>
    </w:p>
    <w:p w14:paraId="2B06F4E4" w14:textId="77777777" w:rsidR="00B37284" w:rsidRDefault="00B37284" w:rsidP="007867D5">
      <w:pPr>
        <w:pStyle w:val="ART"/>
      </w:pPr>
      <w:r>
        <w:t>REFERENCES</w:t>
      </w:r>
      <w:r w:rsidR="00862208">
        <w:t xml:space="preserve"> AND </w:t>
      </w:r>
      <w:r w:rsidR="00862208" w:rsidRPr="00B92C3C">
        <w:t>RESOURCES</w:t>
      </w:r>
      <w:r w:rsidR="002F14AC">
        <w:t xml:space="preserve"> </w:t>
      </w:r>
    </w:p>
    <w:p w14:paraId="44EDA585" w14:textId="77777777" w:rsidR="00B37284" w:rsidRDefault="00B37284" w:rsidP="007867D5">
      <w:pPr>
        <w:pStyle w:val="PR1"/>
      </w:pPr>
      <w:r>
        <w:t>Airborne Toxic Control Measure (ATCM) 93120-93120.12, Title 17, California Code of Regulations.</w:t>
      </w:r>
    </w:p>
    <w:p w14:paraId="6BF3BF39" w14:textId="77777777" w:rsidR="00B37284" w:rsidRDefault="00B37284" w:rsidP="007867D5">
      <w:pPr>
        <w:pStyle w:val="PR1"/>
      </w:pPr>
      <w:r w:rsidRPr="00191FCF">
        <w:t>American Society of Heating, Refrigerating and Air Conditioning Engineers (ASHRAE)</w:t>
      </w:r>
    </w:p>
    <w:p w14:paraId="00FBDABB" w14:textId="77777777" w:rsidR="00B37284" w:rsidRPr="003402CC" w:rsidRDefault="00B37284" w:rsidP="007867D5">
      <w:pPr>
        <w:pStyle w:val="PR2"/>
      </w:pPr>
      <w:r w:rsidRPr="00191FCF">
        <w:rPr>
          <w:bCs/>
        </w:rPr>
        <w:t xml:space="preserve">ASHRAE </w:t>
      </w:r>
      <w:r w:rsidR="00D44505">
        <w:rPr>
          <w:bCs/>
        </w:rPr>
        <w:t xml:space="preserve">Standard </w:t>
      </w:r>
      <w:r w:rsidRPr="00191FCF">
        <w:rPr>
          <w:bCs/>
        </w:rPr>
        <w:t>52.2:</w:t>
      </w:r>
      <w:r w:rsidRPr="00191FCF">
        <w:t xml:space="preserve"> </w:t>
      </w:r>
      <w:r w:rsidR="00D44505">
        <w:t xml:space="preserve"> </w:t>
      </w:r>
      <w:r w:rsidRPr="00191FCF">
        <w:t>Method of Testing General Ventilation Air-Cleaning Devices for Removal Efficiency by Particle Size (ANSI Approved) for defining Minimum Efficiency Reporting Value (MERV)</w:t>
      </w:r>
      <w:r>
        <w:t>.</w:t>
      </w:r>
    </w:p>
    <w:p w14:paraId="5902F67F" w14:textId="77777777" w:rsidR="00B37284" w:rsidRPr="003402CC" w:rsidRDefault="00B37284" w:rsidP="007867D5">
      <w:pPr>
        <w:pStyle w:val="PR3"/>
      </w:pPr>
      <w:r w:rsidRPr="00191FCF">
        <w:t>Minimum efficiency Reporting Value (MERV) of 8 for filtration media</w:t>
      </w:r>
      <w:r>
        <w:t>.</w:t>
      </w:r>
    </w:p>
    <w:p w14:paraId="61B759AD" w14:textId="77777777" w:rsidR="00B37284" w:rsidRPr="003402CC" w:rsidRDefault="00B37284" w:rsidP="007867D5">
      <w:pPr>
        <w:pStyle w:val="PR3"/>
      </w:pPr>
      <w:r w:rsidRPr="00191FCF">
        <w:t>Minimum efficiency Reporting Value (MERV) of 13 for filtration media</w:t>
      </w:r>
      <w:r>
        <w:t>.</w:t>
      </w:r>
    </w:p>
    <w:p w14:paraId="51F82A99" w14:textId="77777777" w:rsidR="00B37284" w:rsidRPr="003402CC" w:rsidRDefault="00B37284" w:rsidP="007867D5">
      <w:pPr>
        <w:pStyle w:val="PR2"/>
      </w:pPr>
      <w:r w:rsidRPr="00191FCF">
        <w:rPr>
          <w:bCs/>
        </w:rPr>
        <w:t>ASHRAE Standard 62.1:</w:t>
      </w:r>
      <w:r w:rsidRPr="00191FCF">
        <w:t xml:space="preserve"> </w:t>
      </w:r>
      <w:r w:rsidR="00D44505">
        <w:t xml:space="preserve"> </w:t>
      </w:r>
      <w:r w:rsidRPr="00191FCF">
        <w:t>Ventilation for Acceptable Indoor Air Quality (ANSI Approved)</w:t>
      </w:r>
      <w:r>
        <w:t>.</w:t>
      </w:r>
    </w:p>
    <w:p w14:paraId="388706E0" w14:textId="77777777" w:rsidR="00B37284" w:rsidRPr="00D71407" w:rsidRDefault="00B37284" w:rsidP="007867D5">
      <w:pPr>
        <w:pStyle w:val="PR3"/>
      </w:pPr>
      <w:r w:rsidRPr="00191FCF">
        <w:t>Sections 4 through 7</w:t>
      </w:r>
      <w:r>
        <w:t>.</w:t>
      </w:r>
    </w:p>
    <w:p w14:paraId="2F1F8A4E" w14:textId="77777777" w:rsidR="00B37284" w:rsidRPr="00D71407" w:rsidRDefault="00B37284" w:rsidP="007867D5">
      <w:pPr>
        <w:pStyle w:val="PR3"/>
      </w:pPr>
      <w:r w:rsidRPr="00191FCF">
        <w:t>Definition of minimum outdoor air rate</w:t>
      </w:r>
      <w:r>
        <w:t>.</w:t>
      </w:r>
    </w:p>
    <w:p w14:paraId="68099E63" w14:textId="77777777" w:rsidR="00B37284" w:rsidRDefault="00B37284" w:rsidP="007867D5">
      <w:pPr>
        <w:pStyle w:val="PR2"/>
      </w:pPr>
      <w:r w:rsidRPr="00191FCF">
        <w:t>ASHRAE Standard 62.2:  Ventilation and Acceptable Indoor Air Quality in Low-Rise Residential Buildings</w:t>
      </w:r>
      <w:r w:rsidR="00D44505">
        <w:t>.</w:t>
      </w:r>
    </w:p>
    <w:p w14:paraId="540E23D1" w14:textId="77777777" w:rsidR="00B37284" w:rsidRPr="00D71407" w:rsidRDefault="00B37284" w:rsidP="007867D5">
      <w:pPr>
        <w:pStyle w:val="PR1"/>
      </w:pPr>
      <w:r w:rsidRPr="00191FCF">
        <w:t>ASTM International (ASTM)</w:t>
      </w:r>
    </w:p>
    <w:p w14:paraId="3D80D953" w14:textId="77777777" w:rsidR="00B37284" w:rsidRPr="00D71407" w:rsidRDefault="00B37284" w:rsidP="007867D5">
      <w:pPr>
        <w:pStyle w:val="PR2"/>
      </w:pPr>
      <w:r w:rsidRPr="00191FCF">
        <w:rPr>
          <w:bCs/>
        </w:rPr>
        <w:t xml:space="preserve">ASTM D1356: </w:t>
      </w:r>
      <w:r w:rsidRPr="00191FCF">
        <w:t xml:space="preserve"> Standard Terminology Relating to Sampling and Analysis of Atmospheres</w:t>
      </w:r>
      <w:r>
        <w:t>.</w:t>
      </w:r>
    </w:p>
    <w:p w14:paraId="131E1B2C" w14:textId="77777777" w:rsidR="00B37284" w:rsidRDefault="00B37284" w:rsidP="007867D5">
      <w:pPr>
        <w:pStyle w:val="PR2"/>
      </w:pPr>
      <w:r w:rsidRPr="00191FCF">
        <w:rPr>
          <w:bCs/>
        </w:rPr>
        <w:t xml:space="preserve">ASTM D5116: </w:t>
      </w:r>
      <w:r w:rsidRPr="00191FCF">
        <w:t xml:space="preserve"> Guide for Small Scale Environmental Chamber determination of Organic Emissions from Indoor Materials/Products</w:t>
      </w:r>
      <w:r>
        <w:t>.</w:t>
      </w:r>
    </w:p>
    <w:p w14:paraId="05052E8B" w14:textId="77777777" w:rsidR="00B37284" w:rsidRPr="00873A71" w:rsidRDefault="00B37284" w:rsidP="007867D5">
      <w:pPr>
        <w:pStyle w:val="PR2"/>
      </w:pPr>
      <w:r w:rsidRPr="00191FCF">
        <w:rPr>
          <w:bCs/>
        </w:rPr>
        <w:t xml:space="preserve">ASTM D5197: </w:t>
      </w:r>
      <w:r w:rsidRPr="00191FCF">
        <w:t xml:space="preserve"> Standard Test Method for Determination of Formaldehyde and Other Carbonyl Compounds in Air (Active Sampler Methodology)</w:t>
      </w:r>
      <w:r>
        <w:t>.</w:t>
      </w:r>
    </w:p>
    <w:p w14:paraId="32D74FE1" w14:textId="77777777" w:rsidR="00B37284" w:rsidRPr="00873A71" w:rsidRDefault="00B37284" w:rsidP="007867D5">
      <w:pPr>
        <w:pStyle w:val="PR2"/>
      </w:pPr>
      <w:r w:rsidRPr="00191FCF">
        <w:rPr>
          <w:bCs/>
        </w:rPr>
        <w:t xml:space="preserve">ASTM D6329: </w:t>
      </w:r>
      <w:r w:rsidRPr="00191FCF">
        <w:t xml:space="preserve"> Standard Guide for Developing Methodology for Evaluating the Ability of Indoor Materials to Support Microbial Growth Using Static Environmental Chambers</w:t>
      </w:r>
      <w:r>
        <w:t>.</w:t>
      </w:r>
    </w:p>
    <w:p w14:paraId="09204C39" w14:textId="77777777" w:rsidR="00B37284" w:rsidRPr="00873A71" w:rsidRDefault="00B37284" w:rsidP="007867D5">
      <w:pPr>
        <w:pStyle w:val="PR2"/>
      </w:pPr>
      <w:r w:rsidRPr="00191FCF">
        <w:rPr>
          <w:bCs/>
        </w:rPr>
        <w:t xml:space="preserve">ASTM D6345: </w:t>
      </w:r>
      <w:r w:rsidRPr="00191FCF">
        <w:t xml:space="preserve"> Standard Guide for Selection of Methods for Active, Integrative Sampling of Volatile Organic Compounds in Air</w:t>
      </w:r>
      <w:r>
        <w:t>.</w:t>
      </w:r>
    </w:p>
    <w:p w14:paraId="3718E63F" w14:textId="77777777" w:rsidR="00B37284" w:rsidRPr="00873A71" w:rsidRDefault="00B37284" w:rsidP="007867D5">
      <w:pPr>
        <w:pStyle w:val="PR2"/>
      </w:pPr>
      <w:r w:rsidRPr="00191FCF">
        <w:rPr>
          <w:bCs/>
        </w:rPr>
        <w:t xml:space="preserve">ASTM D6670: </w:t>
      </w:r>
      <w:r w:rsidRPr="00191FCF">
        <w:t xml:space="preserve"> Standard Practice for Full-Scale Chamber Determination of Volatile Organic Emissions from Indoor Materials/Products</w:t>
      </w:r>
      <w:r>
        <w:t>.</w:t>
      </w:r>
    </w:p>
    <w:p w14:paraId="5145D9ED" w14:textId="77777777" w:rsidR="001A5030" w:rsidRPr="005A61BA" w:rsidRDefault="001A5030" w:rsidP="007867D5">
      <w:pPr>
        <w:pStyle w:val="PR2"/>
      </w:pPr>
      <w:r>
        <w:t>ASTM D6886:  Standard Test Method for Determination of the Individual Volatile Organic Compounds (VOCs) in Air-Dry Coatings by Gas Chromatography</w:t>
      </w:r>
    </w:p>
    <w:p w14:paraId="7FC6272B" w14:textId="77777777" w:rsidR="00B37284" w:rsidRPr="00873A71" w:rsidRDefault="00B37284" w:rsidP="007867D5">
      <w:pPr>
        <w:pStyle w:val="PR2"/>
      </w:pPr>
      <w:r w:rsidRPr="00191FCF">
        <w:rPr>
          <w:bCs/>
        </w:rPr>
        <w:t xml:space="preserve">ASTM D7339: </w:t>
      </w:r>
      <w:r w:rsidRPr="00191FCF">
        <w:t xml:space="preserve"> Standard Test Method for Determination of Volatile Organic Compounds Emitted from Carpet using a Specific Sorbent Tube and Thermal Desorption / Gas Chromatography</w:t>
      </w:r>
      <w:r>
        <w:t>.</w:t>
      </w:r>
    </w:p>
    <w:p w14:paraId="6FD9A729" w14:textId="77777777" w:rsidR="00B37284" w:rsidRPr="00873A71" w:rsidRDefault="00B37284" w:rsidP="007867D5">
      <w:pPr>
        <w:pStyle w:val="PR2"/>
      </w:pPr>
      <w:r w:rsidRPr="00191FCF">
        <w:rPr>
          <w:bCs/>
        </w:rPr>
        <w:t xml:space="preserve">ASTM E2114: </w:t>
      </w:r>
      <w:r w:rsidRPr="00191FCF">
        <w:t xml:space="preserve"> Standard Terminology for Sustainability Relative to the Performance of Buildings</w:t>
      </w:r>
      <w:r>
        <w:t>.</w:t>
      </w:r>
    </w:p>
    <w:p w14:paraId="0BEECA8E" w14:textId="77777777" w:rsidR="00B741EB" w:rsidRPr="005A61BA" w:rsidRDefault="00B37284" w:rsidP="007867D5">
      <w:pPr>
        <w:pStyle w:val="PR1"/>
      </w:pPr>
      <w:r w:rsidRPr="00191FCF">
        <w:t xml:space="preserve">Cal/EPA, </w:t>
      </w:r>
      <w:r w:rsidR="00B741EB">
        <w:t>California Air Resources Board (C</w:t>
      </w:r>
      <w:r w:rsidRPr="00191FCF">
        <w:t>ARB</w:t>
      </w:r>
      <w:r w:rsidR="00B741EB">
        <w:t>)</w:t>
      </w:r>
    </w:p>
    <w:p w14:paraId="62DD6A66" w14:textId="77777777" w:rsidR="00B741EB" w:rsidRDefault="00B741EB" w:rsidP="007867D5">
      <w:pPr>
        <w:pStyle w:val="PR2"/>
      </w:pPr>
      <w:r w:rsidRPr="00B37284">
        <w:t xml:space="preserve">Airborne Toxic Control Measure (ATCM) for formaldehyde in composite wood products:  </w:t>
      </w:r>
      <w:hyperlink r:id="rId9" w:history="1">
        <w:r w:rsidRPr="00210AEE">
          <w:rPr>
            <w:rStyle w:val="Hyperlink"/>
          </w:rPr>
          <w:t>http://www.arb.ca.gov/toxics/compwood/compwood.htm</w:t>
        </w:r>
      </w:hyperlink>
    </w:p>
    <w:p w14:paraId="6347A976" w14:textId="77777777" w:rsidR="00B741EB" w:rsidRDefault="00B741EB" w:rsidP="007867D5">
      <w:pPr>
        <w:pStyle w:val="PR2"/>
      </w:pPr>
      <w:r w:rsidRPr="00B37284">
        <w:lastRenderedPageBreak/>
        <w:t xml:space="preserve">Architectural and Industrial Coatings Program (AIM) – </w:t>
      </w:r>
      <w:r w:rsidR="00D44505">
        <w:t xml:space="preserve">2007 </w:t>
      </w:r>
      <w:r w:rsidRPr="00B37284">
        <w:t xml:space="preserve">Suggested Control Measure (SCM), 2008: </w:t>
      </w:r>
      <w:hyperlink r:id="rId10" w:history="1">
        <w:r w:rsidRPr="00210AEE">
          <w:rPr>
            <w:rStyle w:val="Hyperlink"/>
          </w:rPr>
          <w:t>http://www.arb.ca.gov/coatings/arch/docs.htm</w:t>
        </w:r>
      </w:hyperlink>
    </w:p>
    <w:p w14:paraId="4F3D0EF9" w14:textId="77777777" w:rsidR="00B741EB" w:rsidRDefault="00B37284" w:rsidP="007867D5">
      <w:pPr>
        <w:pStyle w:val="PR2"/>
      </w:pPr>
      <w:r w:rsidRPr="00191FCF">
        <w:t xml:space="preserve">Toxic Air Contaminants (TACs).  </w:t>
      </w:r>
      <w:r w:rsidR="00B741EB">
        <w:t>C</w:t>
      </w:r>
      <w:r w:rsidRPr="00191FCF">
        <w:t xml:space="preserve">urrent version of list is accessible at </w:t>
      </w:r>
      <w:hyperlink r:id="rId11" w:history="1">
        <w:r w:rsidRPr="00210AEE">
          <w:rPr>
            <w:rStyle w:val="Hyperlink"/>
            <w:bCs/>
            <w:szCs w:val="22"/>
          </w:rPr>
          <w:t>http://www.arb.ca.gov/toxics/id/taclist.htm</w:t>
        </w:r>
      </w:hyperlink>
    </w:p>
    <w:p w14:paraId="74745101" w14:textId="77777777" w:rsidR="00B741EB" w:rsidRPr="005A61BA" w:rsidRDefault="00B37284" w:rsidP="007867D5">
      <w:pPr>
        <w:pStyle w:val="PR1"/>
      </w:pPr>
      <w:r w:rsidRPr="00191FCF">
        <w:t>Cal/EPA</w:t>
      </w:r>
      <w:r w:rsidR="00B741EB">
        <w:t>, Office of Environmental Health Hazard Assessment</w:t>
      </w:r>
      <w:r w:rsidRPr="00191FCF">
        <w:t xml:space="preserve"> </w:t>
      </w:r>
      <w:r w:rsidR="00B741EB">
        <w:t>(</w:t>
      </w:r>
      <w:r w:rsidRPr="00191FCF">
        <w:t>OEHHA</w:t>
      </w:r>
      <w:r w:rsidR="00B741EB">
        <w:t>)</w:t>
      </w:r>
    </w:p>
    <w:p w14:paraId="2D547871" w14:textId="77777777" w:rsidR="00B741EB" w:rsidRDefault="00B741EB" w:rsidP="007867D5">
      <w:pPr>
        <w:pStyle w:val="PR2"/>
      </w:pPr>
      <w:r>
        <w:t>N</w:t>
      </w:r>
      <w:r w:rsidRPr="00191FCF">
        <w:t>on</w:t>
      </w:r>
      <w:r>
        <w:t>-cancer health effects. Acute, 8-hour and C</w:t>
      </w:r>
      <w:r w:rsidRPr="00191FCF">
        <w:t xml:space="preserve">hronic Reference Exposure Levels (RELs).  </w:t>
      </w:r>
      <w:r>
        <w:t>C</w:t>
      </w:r>
      <w:r w:rsidRPr="00191FCF">
        <w:t xml:space="preserve">urrent version of this list is accessible at </w:t>
      </w:r>
      <w:hyperlink r:id="rId12" w:history="1">
        <w:r w:rsidRPr="00210AEE">
          <w:rPr>
            <w:rStyle w:val="Hyperlink"/>
          </w:rPr>
          <w:t>http://oehha.ca.gov/air/allrels.html</w:t>
        </w:r>
      </w:hyperlink>
    </w:p>
    <w:p w14:paraId="1C9D623E" w14:textId="77777777" w:rsidR="00B37284" w:rsidRDefault="00B37284" w:rsidP="007867D5">
      <w:pPr>
        <w:pStyle w:val="PR2"/>
      </w:pPr>
      <w:r w:rsidRPr="00191FCF">
        <w:t xml:space="preserve">Safe Drinking Water and Toxic Enforcement Act or 1986 (Proposition 65).  </w:t>
      </w:r>
      <w:r w:rsidR="00B741EB">
        <w:t>C</w:t>
      </w:r>
      <w:r w:rsidRPr="00191FCF">
        <w:t xml:space="preserve">urrent version of list </w:t>
      </w:r>
      <w:r w:rsidR="00B0601D">
        <w:t>is</w:t>
      </w:r>
      <w:r w:rsidR="00B0601D" w:rsidRPr="00191FCF">
        <w:t xml:space="preserve"> </w:t>
      </w:r>
      <w:r w:rsidRPr="00191FCF">
        <w:t xml:space="preserve">accessible at </w:t>
      </w:r>
      <w:hyperlink r:id="rId13" w:history="1">
        <w:r w:rsidRPr="00210AEE">
          <w:rPr>
            <w:rStyle w:val="Hyperlink"/>
            <w:bCs/>
            <w:szCs w:val="22"/>
          </w:rPr>
          <w:t>http://www.oehha.ca.gov/prop65/prop65_list/newlist.html</w:t>
        </w:r>
      </w:hyperlink>
    </w:p>
    <w:p w14:paraId="5CCE9A2C" w14:textId="77777777" w:rsidR="00B37284" w:rsidRDefault="00B37284" w:rsidP="007867D5">
      <w:pPr>
        <w:pStyle w:val="PR1"/>
      </w:pPr>
      <w:r w:rsidRPr="00191FCF">
        <w:t>CALGreen: 201</w:t>
      </w:r>
      <w:r>
        <w:t>3</w:t>
      </w:r>
      <w:r w:rsidRPr="00191FCF">
        <w:t xml:space="preserve"> California Green Building Standards Code, California Code of Regulations, Title 24, Part 11</w:t>
      </w:r>
      <w:r>
        <w:t xml:space="preserve">. </w:t>
      </w:r>
      <w:r w:rsidR="001C7E38">
        <w:t xml:space="preserve"> </w:t>
      </w:r>
      <w:r w:rsidR="00B741EB">
        <w:t>C</w:t>
      </w:r>
      <w:r>
        <w:t xml:space="preserve">urrent version of code is accessible at </w:t>
      </w:r>
      <w:hyperlink r:id="rId14" w:history="1">
        <w:r w:rsidRPr="00210AEE">
          <w:rPr>
            <w:rStyle w:val="Hyperlink"/>
            <w:szCs w:val="22"/>
          </w:rPr>
          <w:t>https://law.resource.org/pub/us/code/bsc.ca.gov/</w:t>
        </w:r>
      </w:hyperlink>
    </w:p>
    <w:p w14:paraId="7CFD65EB" w14:textId="77777777" w:rsidR="00B37284" w:rsidRPr="008E0504" w:rsidRDefault="00B37284" w:rsidP="007867D5">
      <w:pPr>
        <w:pStyle w:val="PR1"/>
        <w:rPr>
          <w:color w:val="000000"/>
        </w:rPr>
      </w:pPr>
      <w:r w:rsidRPr="00191FCF">
        <w:rPr>
          <w:color w:val="000000"/>
        </w:rPr>
        <w:t>California Department of Public Health (CDPH)</w:t>
      </w:r>
      <w:r>
        <w:rPr>
          <w:color w:val="000000"/>
        </w:rPr>
        <w:t xml:space="preserve">, </w:t>
      </w:r>
      <w:r w:rsidRPr="00534EA8">
        <w:t>CDPH/EHLB/Standard Method V1.1:  Standard Method for the Testing and Evaluation of Volatile Organic Chemical Emissions from Indoor Sources Using Environmental Chambers, Version 1.1 (Emission Testing Method for California Specification 01350</w:t>
      </w:r>
      <w:r w:rsidR="00D44505">
        <w:t>);</w:t>
      </w:r>
      <w:r>
        <w:t xml:space="preserve"> </w:t>
      </w:r>
      <w:r w:rsidRPr="00534EA8">
        <w:t xml:space="preserve">accessible at </w:t>
      </w:r>
      <w:hyperlink r:id="rId15" w:history="1">
        <w:r w:rsidRPr="00210AEE">
          <w:rPr>
            <w:rStyle w:val="Hyperlink"/>
            <w:szCs w:val="22"/>
          </w:rPr>
          <w:t>http://www.cal-iaq.org/separator/voc/standard-method</w:t>
        </w:r>
      </w:hyperlink>
      <w:r w:rsidRPr="008E0504">
        <w:t xml:space="preserve">  </w:t>
      </w:r>
    </w:p>
    <w:p w14:paraId="203BE3B5" w14:textId="77777777" w:rsidR="00B37284" w:rsidRDefault="00B37284" w:rsidP="007867D5">
      <w:pPr>
        <w:pStyle w:val="PR1"/>
      </w:pPr>
      <w:r w:rsidRPr="00191FCF">
        <w:t>Carpet and Rug Institute</w:t>
      </w:r>
      <w:r>
        <w:t xml:space="preserve"> (CRI)</w:t>
      </w:r>
      <w:r w:rsidRPr="00191FCF">
        <w:t>:  Green Label Plus Certification for carpet and carpet cushion</w:t>
      </w:r>
      <w:r w:rsidR="001F51E5">
        <w:t>;</w:t>
      </w:r>
      <w:r>
        <w:t xml:space="preserve"> accessible at </w:t>
      </w:r>
      <w:hyperlink r:id="rId16" w:history="1">
        <w:r w:rsidRPr="00210AEE">
          <w:rPr>
            <w:rStyle w:val="Hyperlink"/>
            <w:szCs w:val="22"/>
          </w:rPr>
          <w:t>http://www.carpet-rug.org/</w:t>
        </w:r>
      </w:hyperlink>
    </w:p>
    <w:p w14:paraId="349B49A2" w14:textId="77777777" w:rsidR="00B37284" w:rsidRPr="00505393" w:rsidRDefault="00B37284" w:rsidP="007867D5">
      <w:pPr>
        <w:pStyle w:val="PR1"/>
      </w:pPr>
      <w:r>
        <w:t xml:space="preserve">Cradle to Cradle Products Innovation Institute:  Cradle to Cradle </w:t>
      </w:r>
      <w:r w:rsidR="00763B0F">
        <w:t xml:space="preserve">(C2C) </w:t>
      </w:r>
      <w:r>
        <w:t xml:space="preserve">Certified Products Program; </w:t>
      </w:r>
      <w:r w:rsidR="00D44505">
        <w:t xml:space="preserve">accessible at </w:t>
      </w:r>
      <w:hyperlink r:id="rId17" w:history="1">
        <w:r w:rsidR="00D44505" w:rsidRPr="005F00B0">
          <w:rPr>
            <w:rStyle w:val="Hyperlink"/>
          </w:rPr>
          <w:t>http://www.c2ccertified.org/product_certification/c2ccertified_product_standard</w:t>
        </w:r>
      </w:hyperlink>
      <w:r w:rsidR="00D44505">
        <w:t xml:space="preserve"> </w:t>
      </w:r>
    </w:p>
    <w:p w14:paraId="44648C24" w14:textId="77777777" w:rsidR="00B37284" w:rsidRPr="00873A71" w:rsidRDefault="00B37284" w:rsidP="007867D5">
      <w:pPr>
        <w:pStyle w:val="PR1"/>
      </w:pPr>
      <w:r w:rsidRPr="00191FCF">
        <w:rPr>
          <w:color w:val="000000"/>
          <w:szCs w:val="22"/>
        </w:rPr>
        <w:t>Green Seal</w:t>
      </w:r>
      <w:r w:rsidR="00D44505">
        <w:rPr>
          <w:color w:val="000000"/>
          <w:szCs w:val="22"/>
        </w:rPr>
        <w:t>;</w:t>
      </w:r>
      <w:r w:rsidR="00B741EB">
        <w:rPr>
          <w:color w:val="000000"/>
          <w:szCs w:val="22"/>
        </w:rPr>
        <w:t xml:space="preserve"> accessible at </w:t>
      </w:r>
      <w:hyperlink r:id="rId18" w:history="1">
        <w:r w:rsidR="0086751D" w:rsidRPr="00210AEE">
          <w:rPr>
            <w:rStyle w:val="Hyperlink"/>
          </w:rPr>
          <w:t>http://www.greenseal.org/FindGreenSealProductsAndServices.aspx</w:t>
        </w:r>
      </w:hyperlink>
    </w:p>
    <w:p w14:paraId="60611512" w14:textId="77777777" w:rsidR="00B37284" w:rsidRPr="00873A71" w:rsidRDefault="00B37284" w:rsidP="007867D5">
      <w:pPr>
        <w:pStyle w:val="PR2"/>
      </w:pPr>
      <w:r w:rsidRPr="00191FCF">
        <w:t>Green Seal Standard GS-11, Paints</w:t>
      </w:r>
      <w:r>
        <w:t xml:space="preserve"> and Coatings.</w:t>
      </w:r>
    </w:p>
    <w:p w14:paraId="07724522" w14:textId="77777777" w:rsidR="00B37284" w:rsidRPr="00862208" w:rsidRDefault="00B37284" w:rsidP="007867D5">
      <w:pPr>
        <w:pStyle w:val="PR2"/>
      </w:pPr>
      <w:r w:rsidRPr="00191FCF">
        <w:t>Green Seal Standard GS-36, Adhesives</w:t>
      </w:r>
      <w:r>
        <w:t xml:space="preserve"> for Commercial Use.</w:t>
      </w:r>
    </w:p>
    <w:p w14:paraId="45D2EAEA" w14:textId="77777777" w:rsidR="00862208" w:rsidRPr="00873A71" w:rsidRDefault="00862208" w:rsidP="007867D5">
      <w:pPr>
        <w:pStyle w:val="PR2"/>
      </w:pPr>
      <w:r>
        <w:t>Green Seal Standard GS-42, Commercial and Institutional Cleaning Services.</w:t>
      </w:r>
    </w:p>
    <w:p w14:paraId="478AEA60" w14:textId="77777777" w:rsidR="00862208" w:rsidRPr="007F05F1" w:rsidRDefault="00B37284" w:rsidP="007867D5">
      <w:pPr>
        <w:pStyle w:val="PR2"/>
      </w:pPr>
      <w:r>
        <w:t>Green Seal Standard GS-49</w:t>
      </w:r>
      <w:r w:rsidRPr="00191FCF">
        <w:t xml:space="preserve">, </w:t>
      </w:r>
      <w:r>
        <w:t>Residential Cleaning Services.</w:t>
      </w:r>
    </w:p>
    <w:p w14:paraId="374E36C6" w14:textId="77777777" w:rsidR="001F51E5" w:rsidRDefault="001F51E5" w:rsidP="007867D5">
      <w:pPr>
        <w:pStyle w:val="PR1"/>
      </w:pPr>
      <w:r>
        <w:t xml:space="preserve">GreenScreen for Safer Chemicals:  Method for chemical hazard assessment; accessible at </w:t>
      </w:r>
      <w:hyperlink r:id="rId19" w:history="1">
        <w:r w:rsidRPr="00210AEE">
          <w:rPr>
            <w:rStyle w:val="Hyperlink"/>
          </w:rPr>
          <w:t>http://www.greenscreenchemicals.org/</w:t>
        </w:r>
      </w:hyperlink>
    </w:p>
    <w:p w14:paraId="4E9811DC" w14:textId="77777777" w:rsidR="00D37C33" w:rsidRDefault="00BF7457" w:rsidP="007867D5">
      <w:pPr>
        <w:pStyle w:val="PR1"/>
      </w:pPr>
      <w:r>
        <w:t xml:space="preserve">Health Product Declaration Collaborative; </w:t>
      </w:r>
      <w:r w:rsidR="00B37284">
        <w:t>Health Product Declaration (HPD)</w:t>
      </w:r>
      <w:r w:rsidR="00457BB9">
        <w:t xml:space="preserve"> Standard Version 1.0; accessible at </w:t>
      </w:r>
      <w:hyperlink r:id="rId20" w:history="1">
        <w:r w:rsidR="00D37C33" w:rsidRPr="00210AEE">
          <w:rPr>
            <w:rStyle w:val="Hyperlink"/>
          </w:rPr>
          <w:t>http://hpdcollaborative.org</w:t>
        </w:r>
      </w:hyperlink>
    </w:p>
    <w:p w14:paraId="3AF20D26" w14:textId="77777777" w:rsidR="00B37284" w:rsidRPr="00D8633F" w:rsidRDefault="00B37284" w:rsidP="007867D5">
      <w:pPr>
        <w:pStyle w:val="PR1"/>
      </w:pPr>
      <w:r w:rsidRPr="00191FCF">
        <w:rPr>
          <w:color w:val="000000"/>
        </w:rPr>
        <w:t>International Green Construction Code (IgCC)</w:t>
      </w:r>
      <w:r w:rsidR="00D8633F">
        <w:rPr>
          <w:color w:val="000000"/>
        </w:rPr>
        <w:t xml:space="preserve">; </w:t>
      </w:r>
      <w:r w:rsidR="0086751D">
        <w:rPr>
          <w:color w:val="000000"/>
        </w:rPr>
        <w:t xml:space="preserve">accessible at </w:t>
      </w:r>
      <w:hyperlink r:id="rId21" w:history="1">
        <w:r w:rsidR="00D8633F" w:rsidRPr="00210AEE">
          <w:rPr>
            <w:rStyle w:val="Hyperlink"/>
            <w:szCs w:val="22"/>
          </w:rPr>
          <w:t>http://www.iccsafe.org/CS/IGCC/Pages/default.aspx</w:t>
        </w:r>
      </w:hyperlink>
    </w:p>
    <w:p w14:paraId="72EF37AE" w14:textId="77777777" w:rsidR="00B37284" w:rsidRPr="007F05F1" w:rsidRDefault="00B37284" w:rsidP="007867D5">
      <w:pPr>
        <w:pStyle w:val="PR1"/>
      </w:pPr>
      <w:r w:rsidRPr="00191FCF">
        <w:rPr>
          <w:szCs w:val="22"/>
        </w:rPr>
        <w:t>International Living Futures Institute</w:t>
      </w:r>
      <w:r>
        <w:rPr>
          <w:szCs w:val="22"/>
        </w:rPr>
        <w:t xml:space="preserve"> (ILFI</w:t>
      </w:r>
      <w:r w:rsidR="00D44505">
        <w:rPr>
          <w:szCs w:val="22"/>
        </w:rPr>
        <w:t>); accessible at</w:t>
      </w:r>
      <w:r w:rsidR="00D44505" w:rsidRPr="00191FCF">
        <w:rPr>
          <w:szCs w:val="22"/>
        </w:rPr>
        <w:t xml:space="preserve"> </w:t>
      </w:r>
      <w:hyperlink r:id="rId22" w:history="1">
        <w:r w:rsidR="007065CA" w:rsidRPr="00210AEE">
          <w:rPr>
            <w:rStyle w:val="Hyperlink"/>
          </w:rPr>
          <w:t>http://living-future.org/lbc</w:t>
        </w:r>
      </w:hyperlink>
      <w:r w:rsidR="007065CA" w:rsidRPr="00FB0020">
        <w:t>.</w:t>
      </w:r>
    </w:p>
    <w:p w14:paraId="5E37F5FC" w14:textId="77777777" w:rsidR="00B37284" w:rsidRDefault="00B37284" w:rsidP="007867D5">
      <w:pPr>
        <w:pStyle w:val="PR2"/>
      </w:pPr>
      <w:r>
        <w:t>Living Building Challenge (LBC)</w:t>
      </w:r>
      <w:r w:rsidR="00862208">
        <w:t xml:space="preserve"> </w:t>
      </w:r>
      <w:r w:rsidR="00457BB9">
        <w:t>Standard 3</w:t>
      </w:r>
      <w:r w:rsidR="00862208">
        <w:t>.0</w:t>
      </w:r>
      <w:r w:rsidR="00D1076A">
        <w:t>, 2014</w:t>
      </w:r>
      <w:r>
        <w:t>.</w:t>
      </w:r>
      <w:r w:rsidRPr="00191FCF">
        <w:t xml:space="preserve"> </w:t>
      </w:r>
    </w:p>
    <w:p w14:paraId="23E4B46B" w14:textId="77777777" w:rsidR="00D1076A" w:rsidRDefault="00D1076A" w:rsidP="007867D5">
      <w:pPr>
        <w:pStyle w:val="PR2"/>
      </w:pPr>
      <w:r>
        <w:t>Material Petals Handbook, 2013</w:t>
      </w:r>
    </w:p>
    <w:p w14:paraId="17EA279E" w14:textId="77777777" w:rsidR="003B30E8" w:rsidRPr="00FB0020" w:rsidRDefault="003B30E8" w:rsidP="007867D5">
      <w:pPr>
        <w:pStyle w:val="PR2"/>
      </w:pPr>
      <w:r>
        <w:t>Declare</w:t>
      </w:r>
      <w:r w:rsidR="00D1076A">
        <w:t xml:space="preserve">, The Ingredients Label for Building Products; accessible at </w:t>
      </w:r>
      <w:hyperlink r:id="rId23" w:history="1">
        <w:r w:rsidRPr="00210AEE">
          <w:rPr>
            <w:rStyle w:val="Hyperlink"/>
          </w:rPr>
          <w:t>www.declareproducts.com</w:t>
        </w:r>
      </w:hyperlink>
      <w:r>
        <w:t>.</w:t>
      </w:r>
    </w:p>
    <w:p w14:paraId="0CFE9B76" w14:textId="77777777" w:rsidR="00B37284" w:rsidRPr="00B010E1" w:rsidRDefault="00B37284" w:rsidP="007867D5">
      <w:pPr>
        <w:pStyle w:val="PR1"/>
      </w:pPr>
      <w:r w:rsidRPr="00191FCF">
        <w:lastRenderedPageBreak/>
        <w:t>International Organization for Standardization (ISO)</w:t>
      </w:r>
    </w:p>
    <w:p w14:paraId="1E9EC726" w14:textId="77777777" w:rsidR="00B37284" w:rsidRPr="00B010E1" w:rsidRDefault="00B37284" w:rsidP="007867D5">
      <w:pPr>
        <w:pStyle w:val="PR2"/>
      </w:pPr>
      <w:r w:rsidRPr="00191FCF">
        <w:t>ISO 14021:2001. Environmental labels and declarations. Self-declared environmental claims (Type II environmental labeling)</w:t>
      </w:r>
      <w:r>
        <w:t>.</w:t>
      </w:r>
    </w:p>
    <w:p w14:paraId="4C4AC902" w14:textId="77777777" w:rsidR="00B37284" w:rsidRDefault="00B37284" w:rsidP="007867D5">
      <w:pPr>
        <w:pStyle w:val="PR2"/>
      </w:pPr>
      <w:r w:rsidRPr="00191FCF">
        <w:t>ISO 16000-9:2006. Indoor Air - Part 9: Determination of the Emission of Volatile Organic Compounds from Building Products and Furnishing - Emission Test Chamber Method</w:t>
      </w:r>
      <w:r>
        <w:t>.</w:t>
      </w:r>
    </w:p>
    <w:p w14:paraId="6C0E2126" w14:textId="1F43056F" w:rsidR="00B37284" w:rsidRPr="00B010E1" w:rsidRDefault="00B37284" w:rsidP="007867D5">
      <w:pPr>
        <w:pStyle w:val="PR2"/>
      </w:pPr>
      <w:r w:rsidRPr="00191FCF">
        <w:t xml:space="preserve">ISO/IEC 17025:2005 General </w:t>
      </w:r>
      <w:r w:rsidR="00C65CE1">
        <w:t>R</w:t>
      </w:r>
      <w:r w:rsidRPr="00191FCF">
        <w:t xml:space="preserve">equirements for the </w:t>
      </w:r>
      <w:r w:rsidR="00C65CE1">
        <w:t>C</w:t>
      </w:r>
      <w:r w:rsidRPr="00191FCF">
        <w:t xml:space="preserve">ompetence of </w:t>
      </w:r>
      <w:r w:rsidR="00C65CE1">
        <w:t>T</w:t>
      </w:r>
      <w:r w:rsidRPr="00191FCF">
        <w:t xml:space="preserve">esting and </w:t>
      </w:r>
      <w:r w:rsidR="00C65CE1">
        <w:t>C</w:t>
      </w:r>
      <w:r w:rsidRPr="00191FCF">
        <w:t xml:space="preserve">alibration </w:t>
      </w:r>
      <w:r w:rsidR="00C65CE1">
        <w:t>L</w:t>
      </w:r>
      <w:r w:rsidRPr="00191FCF">
        <w:t>aboratories</w:t>
      </w:r>
      <w:r>
        <w:t>.</w:t>
      </w:r>
    </w:p>
    <w:p w14:paraId="751A9D52" w14:textId="77777777" w:rsidR="00B741EB" w:rsidRDefault="00B741EB" w:rsidP="007867D5">
      <w:pPr>
        <w:pStyle w:val="PR2"/>
      </w:pPr>
      <w:r>
        <w:t>ISO/IEC 17065: 2012 Conformity Assessment – Requirements for Bodies Certifying Products, Processes and Services</w:t>
      </w:r>
    </w:p>
    <w:p w14:paraId="19124FFF" w14:textId="77777777" w:rsidR="00B37284" w:rsidRDefault="00B37284" w:rsidP="007867D5">
      <w:pPr>
        <w:pStyle w:val="PR2"/>
      </w:pPr>
      <w:r w:rsidRPr="00191FCF">
        <w:t>ISO/IEC Guide 65:1996 General Requirements for Bodies Operating Product Certification Systems</w:t>
      </w:r>
      <w:r>
        <w:t>.</w:t>
      </w:r>
    </w:p>
    <w:p w14:paraId="6E93B131" w14:textId="77777777" w:rsidR="00B37284" w:rsidRDefault="00B37284" w:rsidP="007867D5">
      <w:pPr>
        <w:pStyle w:val="PR1"/>
      </w:pPr>
      <w:r w:rsidRPr="00B37284">
        <w:t xml:space="preserve">North </w:t>
      </w:r>
      <w:r w:rsidR="00862208">
        <w:t>East</w:t>
      </w:r>
      <w:r>
        <w:t xml:space="preserve"> Ozone Transport Commission (OTC)  </w:t>
      </w:r>
    </w:p>
    <w:p w14:paraId="3301908C" w14:textId="77777777" w:rsidR="00B37284" w:rsidRDefault="00B37284" w:rsidP="007867D5">
      <w:pPr>
        <w:pStyle w:val="PR2"/>
      </w:pPr>
      <w:r>
        <w:t>Model Rule 2009-12; Architectural &amp; Industrial Maintenance (AIM) Coatings.</w:t>
      </w:r>
    </w:p>
    <w:p w14:paraId="5E132C7D" w14:textId="77777777" w:rsidR="00B37284" w:rsidRPr="0003509F" w:rsidRDefault="00B37284" w:rsidP="007867D5">
      <w:pPr>
        <w:pStyle w:val="PR2"/>
      </w:pPr>
      <w:r>
        <w:t>Model Rule for Adhesives and Sealants.</w:t>
      </w:r>
    </w:p>
    <w:p w14:paraId="209EAB40" w14:textId="69342E71" w:rsidR="00B8594B" w:rsidRDefault="00B8594B" w:rsidP="007867D5">
      <w:pPr>
        <w:pStyle w:val="PR1"/>
      </w:pPr>
      <w:r>
        <w:t>Resilient Floor Covering Institute (RFCI):  FloorScore emissions criteria and testing</w:t>
      </w:r>
      <w:r w:rsidR="00573FCF">
        <w:t xml:space="preserve"> </w:t>
      </w:r>
      <w:r w:rsidR="00804E24">
        <w:t>method</w:t>
      </w:r>
      <w:r>
        <w:t xml:space="preserve"> for hard surface flooring and flooring adhesives; accessible at SCS </w:t>
      </w:r>
      <w:r w:rsidR="00C65CE1">
        <w:t xml:space="preserve">Global Services </w:t>
      </w:r>
      <w:r>
        <w:t xml:space="preserve">website </w:t>
      </w:r>
      <w:hyperlink r:id="rId24" w:history="1">
        <w:r w:rsidRPr="00210AEE">
          <w:rPr>
            <w:rStyle w:val="Hyperlink"/>
          </w:rPr>
          <w:t>http://www.scsglobalservices.com/floorscore</w:t>
        </w:r>
      </w:hyperlink>
    </w:p>
    <w:p w14:paraId="021C890D" w14:textId="77777777" w:rsidR="00B37284" w:rsidRPr="00B010E1" w:rsidRDefault="00B37284" w:rsidP="007867D5">
      <w:pPr>
        <w:pStyle w:val="PR1"/>
      </w:pPr>
      <w:r w:rsidRPr="00191FCF">
        <w:t>Sheet Metal and Air Conditioning Contractors National Association (SMACNA)</w:t>
      </w:r>
      <w:r>
        <w:t>:</w:t>
      </w:r>
      <w:r w:rsidR="00D44505">
        <w:t xml:space="preserve">  </w:t>
      </w:r>
      <w:r w:rsidR="006A4082" w:rsidRPr="006A4082">
        <w:t xml:space="preserve">IAQ Guidelines </w:t>
      </w:r>
      <w:r w:rsidR="006A4082">
        <w:t>f</w:t>
      </w:r>
      <w:r w:rsidR="006A4082" w:rsidRPr="006A4082">
        <w:t>or Occupied Buildings Under Construction, 2nd Edition 2007, ANSI/ SMACNA 008-2008 (Chapter 3)</w:t>
      </w:r>
      <w:r>
        <w:t>.</w:t>
      </w:r>
    </w:p>
    <w:p w14:paraId="1BC26030" w14:textId="77777777" w:rsidR="00B37284" w:rsidRPr="00B010E1" w:rsidRDefault="00B37284" w:rsidP="007867D5">
      <w:pPr>
        <w:pStyle w:val="PR1"/>
      </w:pPr>
      <w:r w:rsidRPr="00191FCF">
        <w:t>South Coast Air Quality Management District (SCAQMD)</w:t>
      </w:r>
    </w:p>
    <w:p w14:paraId="0AF0C837" w14:textId="77777777" w:rsidR="00B37284" w:rsidRPr="00B010E1" w:rsidRDefault="00B37284" w:rsidP="007867D5">
      <w:pPr>
        <w:pStyle w:val="PR2"/>
      </w:pPr>
      <w:r w:rsidRPr="00191FCF">
        <w:t>SCAQMD Rule 1113</w:t>
      </w:r>
      <w:r>
        <w:t>, Architectural Coatings</w:t>
      </w:r>
      <w:r w:rsidRPr="00191FCF">
        <w:t xml:space="preserve">: VOC limits for </w:t>
      </w:r>
      <w:r w:rsidRPr="00862208">
        <w:t>AIM</w:t>
      </w:r>
      <w:r w:rsidRPr="00246F8D">
        <w:rPr>
          <w:b/>
        </w:rPr>
        <w:t xml:space="preserve"> </w:t>
      </w:r>
      <w:r>
        <w:t xml:space="preserve">paints and coatings; </w:t>
      </w:r>
      <w:r w:rsidR="00862208">
        <w:t xml:space="preserve">accessible at:  </w:t>
      </w:r>
      <w:hyperlink r:id="rId25" w:history="1">
        <w:r w:rsidRPr="00210AEE">
          <w:rPr>
            <w:rStyle w:val="Hyperlink"/>
            <w:szCs w:val="22"/>
          </w:rPr>
          <w:t>http://www.aqmd.gov/rules/reg/reg11/r1113.pdf</w:t>
        </w:r>
      </w:hyperlink>
      <w:r>
        <w:t xml:space="preserve"> </w:t>
      </w:r>
    </w:p>
    <w:p w14:paraId="523DA7FE" w14:textId="77777777" w:rsidR="00B37284" w:rsidRPr="00B010E1" w:rsidRDefault="00B37284" w:rsidP="007867D5">
      <w:pPr>
        <w:pStyle w:val="PR2"/>
      </w:pPr>
      <w:r w:rsidRPr="00191FCF">
        <w:t>SCAQMD Rule 1168</w:t>
      </w:r>
      <w:r>
        <w:t>, Adhesive and  Sealant Applications</w:t>
      </w:r>
      <w:r w:rsidRPr="00191FCF">
        <w:t xml:space="preserve">: VOC limits </w:t>
      </w:r>
      <w:r>
        <w:t xml:space="preserve">for primers, </w:t>
      </w:r>
      <w:r w:rsidRPr="00191FCF">
        <w:t xml:space="preserve">adhesives, sealants, and sealant </w:t>
      </w:r>
      <w:r>
        <w:t xml:space="preserve">and other </w:t>
      </w:r>
      <w:r w:rsidRPr="00191FCF">
        <w:t>primers</w:t>
      </w:r>
      <w:r>
        <w:t xml:space="preserve">; </w:t>
      </w:r>
      <w:r w:rsidR="00862208">
        <w:t xml:space="preserve">accessible at: </w:t>
      </w:r>
      <w:hyperlink r:id="rId26" w:history="1">
        <w:r w:rsidRPr="00210AEE">
          <w:rPr>
            <w:rStyle w:val="Hyperlink"/>
            <w:szCs w:val="22"/>
          </w:rPr>
          <w:t>http://www.arb.ca.gov/drdb/sc/curhtml/r1168.pdf</w:t>
        </w:r>
      </w:hyperlink>
      <w:r>
        <w:t xml:space="preserve"> </w:t>
      </w:r>
    </w:p>
    <w:p w14:paraId="22629617" w14:textId="77777777" w:rsidR="00B37284" w:rsidRPr="00B010E1" w:rsidRDefault="00B37284" w:rsidP="007867D5">
      <w:pPr>
        <w:pStyle w:val="PR1"/>
      </w:pPr>
      <w:r w:rsidRPr="00191FCF">
        <w:t>US Environmental Protection Agency</w:t>
      </w:r>
      <w:r>
        <w:t xml:space="preserve"> (EPA)</w:t>
      </w:r>
    </w:p>
    <w:p w14:paraId="3B24A987" w14:textId="369D059B" w:rsidR="005A61BA" w:rsidRDefault="005A61BA" w:rsidP="007867D5">
      <w:pPr>
        <w:pStyle w:val="PR2"/>
      </w:pPr>
      <w:r>
        <w:t>Indoor airP</w:t>
      </w:r>
      <w:r w:rsidR="00316C60">
        <w:t>LUS</w:t>
      </w:r>
      <w:r>
        <w:t xml:space="preserve"> Construction Specifications</w:t>
      </w:r>
      <w:r w:rsidR="00C65CE1">
        <w:t>,</w:t>
      </w:r>
      <w:r>
        <w:t xml:space="preserve"> Version 1 (Rev. 02): </w:t>
      </w:r>
      <w:hyperlink r:id="rId27" w:history="1">
        <w:r w:rsidRPr="005A61BA">
          <w:rPr>
            <w:rStyle w:val="Hyperlink"/>
          </w:rPr>
          <w:t>http://www.epa.gov/indoorairplus</w:t>
        </w:r>
      </w:hyperlink>
    </w:p>
    <w:p w14:paraId="08886A3A" w14:textId="77777777" w:rsidR="00B37284" w:rsidRPr="00B010E1" w:rsidRDefault="00DB6D15" w:rsidP="007867D5">
      <w:pPr>
        <w:pStyle w:val="PR2"/>
      </w:pPr>
      <w:r w:rsidRPr="00191FCF">
        <w:t>40</w:t>
      </w:r>
      <w:r>
        <w:t xml:space="preserve"> </w:t>
      </w:r>
      <w:r w:rsidRPr="00191FCF">
        <w:t>CFR</w:t>
      </w:r>
      <w:r>
        <w:t xml:space="preserve"> </w:t>
      </w:r>
      <w:r w:rsidR="00B37284" w:rsidRPr="00191FCF">
        <w:t xml:space="preserve">59, </w:t>
      </w:r>
      <w:r w:rsidRPr="00191FCF">
        <w:t>Subpart</w:t>
      </w:r>
      <w:r>
        <w:t xml:space="preserve"> </w:t>
      </w:r>
      <w:r w:rsidR="00B37284" w:rsidRPr="00191FCF">
        <w:t>D</w:t>
      </w:r>
      <w:r>
        <w:t xml:space="preserve">, </w:t>
      </w:r>
      <w:r w:rsidR="00B37284">
        <w:t>Method 24</w:t>
      </w:r>
      <w:r>
        <w:t xml:space="preserve">, </w:t>
      </w:r>
      <w:r w:rsidR="00B37284" w:rsidRPr="00191FCF">
        <w:t>Determination of Volatile Matter Content, Water Content, Density, Volume Solids, and Weight Solids of Surface Coatings</w:t>
      </w:r>
      <w:r>
        <w:t xml:space="preserve">; accessible at </w:t>
      </w:r>
      <w:hyperlink r:id="rId28" w:history="1">
        <w:r w:rsidRPr="005F00B0">
          <w:rPr>
            <w:rStyle w:val="Hyperlink"/>
          </w:rPr>
          <w:t>http://www.epa.gov/ttnemc01/promgate/m-24.pdf</w:t>
        </w:r>
      </w:hyperlink>
      <w:r>
        <w:t xml:space="preserve"> </w:t>
      </w:r>
    </w:p>
    <w:p w14:paraId="745FDFCD" w14:textId="77777777" w:rsidR="00E62253" w:rsidRDefault="00E62253" w:rsidP="007867D5">
      <w:pPr>
        <w:pStyle w:val="PR2"/>
      </w:pPr>
      <w:r>
        <w:t xml:space="preserve">Building Radon Out (EPA 402-K-01-002): Building Radon Out: A Step-by-Step Guide On How to Build Radon-Resistant Homes, 2001; accessible at </w:t>
      </w:r>
      <w:hyperlink r:id="rId29" w:history="1">
        <w:r w:rsidRPr="005F00B0">
          <w:rPr>
            <w:rStyle w:val="Hyperlink"/>
          </w:rPr>
          <w:t>http://www.epa.gov/radon/pdfs/buildradonout.pdf</w:t>
        </w:r>
      </w:hyperlink>
      <w:r>
        <w:t xml:space="preserve"> </w:t>
      </w:r>
    </w:p>
    <w:p w14:paraId="1D19A62C" w14:textId="77777777" w:rsidR="00E62253" w:rsidRPr="00B37284" w:rsidRDefault="00E62253" w:rsidP="007867D5">
      <w:pPr>
        <w:pStyle w:val="PR2"/>
      </w:pPr>
      <w:r>
        <w:rPr>
          <w:szCs w:val="22"/>
        </w:rPr>
        <w:t xml:space="preserve">Environmentally Preferable Purchasing Guidelines for Cleaning Agents; accessible at </w:t>
      </w:r>
      <w:hyperlink r:id="rId30" w:history="1">
        <w:r w:rsidRPr="00210AEE">
          <w:rPr>
            <w:rStyle w:val="Hyperlink"/>
          </w:rPr>
          <w:t>http://www.epa.gov/opptintr/epp/pubs/cleaning.htm</w:t>
        </w:r>
      </w:hyperlink>
    </w:p>
    <w:p w14:paraId="7C08B2A2" w14:textId="77777777" w:rsidR="00E62253" w:rsidRDefault="00E62253" w:rsidP="007867D5">
      <w:pPr>
        <w:pStyle w:val="PR2"/>
      </w:pPr>
      <w:r>
        <w:t>Map of Radon Zones</w:t>
      </w:r>
      <w:r w:rsidR="006A4082">
        <w:t>;</w:t>
      </w:r>
      <w:r>
        <w:t xml:space="preserve"> accessible at </w:t>
      </w:r>
      <w:hyperlink r:id="rId31" w:history="1">
        <w:r w:rsidRPr="005F00B0">
          <w:rPr>
            <w:rStyle w:val="Hyperlink"/>
          </w:rPr>
          <w:t>http://www.epa.gov/radon/zonemap.html</w:t>
        </w:r>
      </w:hyperlink>
      <w:r>
        <w:t xml:space="preserve"> </w:t>
      </w:r>
    </w:p>
    <w:p w14:paraId="74B9EA15" w14:textId="77777777" w:rsidR="00B37284" w:rsidRPr="002F14AC" w:rsidRDefault="00B37284" w:rsidP="007867D5">
      <w:pPr>
        <w:pStyle w:val="PR2"/>
      </w:pPr>
      <w:r>
        <w:t xml:space="preserve">Toxic Substances Control Act (TSCA), Section 5(b)(4):  </w:t>
      </w:r>
      <w:r w:rsidRPr="00191FCF">
        <w:t>Chemicals of Concern</w:t>
      </w:r>
      <w:r w:rsidR="00DB6D15">
        <w:t xml:space="preserve">; accessible at </w:t>
      </w:r>
      <w:hyperlink r:id="rId32" w:history="1">
        <w:r w:rsidR="00DB6D15" w:rsidRPr="005F00B0">
          <w:rPr>
            <w:rStyle w:val="Hyperlink"/>
          </w:rPr>
          <w:t>http://www.epa.gov/oppt/existingchemicals/index.html</w:t>
        </w:r>
      </w:hyperlink>
    </w:p>
    <w:p w14:paraId="1B5623F0" w14:textId="77777777" w:rsidR="00B741EB" w:rsidRDefault="00862208" w:rsidP="007867D5">
      <w:pPr>
        <w:pStyle w:val="PR1"/>
      </w:pPr>
      <w:r>
        <w:t xml:space="preserve">US </w:t>
      </w:r>
      <w:r w:rsidR="00B37284" w:rsidRPr="004B62B4">
        <w:t>Green Building Council (USGBC</w:t>
      </w:r>
      <w:r w:rsidR="00B741EB" w:rsidRPr="004B62B4">
        <w:t>)</w:t>
      </w:r>
    </w:p>
    <w:p w14:paraId="52AD6EDA" w14:textId="77777777" w:rsidR="00B37284" w:rsidRDefault="00B37284" w:rsidP="007867D5">
      <w:pPr>
        <w:pStyle w:val="PR2"/>
      </w:pPr>
      <w:r w:rsidRPr="004B62B4">
        <w:lastRenderedPageBreak/>
        <w:t>Leadership in Energy and Environmental Design (LEED), LEED for Homes</w:t>
      </w:r>
      <w:r w:rsidR="00E62253">
        <w:t xml:space="preserve"> Design and Construction</w:t>
      </w:r>
      <w:r w:rsidRPr="004B62B4">
        <w:t>, v4</w:t>
      </w:r>
      <w:r w:rsidR="00E62253">
        <w:t>. Includes ‘Homes and Multifamily Lowrise’ and ‘Multifamily’</w:t>
      </w:r>
      <w:r w:rsidR="00E9142F">
        <w:t xml:space="preserve">; accessible at </w:t>
      </w:r>
      <w:hyperlink r:id="rId33" w:history="1">
        <w:r w:rsidR="00E62253" w:rsidRPr="005F00B0">
          <w:rPr>
            <w:rStyle w:val="Hyperlink"/>
          </w:rPr>
          <w:t>http://www.usgbc.org/leed/v4</w:t>
        </w:r>
      </w:hyperlink>
      <w:r w:rsidR="00E62253">
        <w:t xml:space="preserve"> </w:t>
      </w:r>
    </w:p>
    <w:p w14:paraId="414F8A1B" w14:textId="7AF985C0" w:rsidR="00B37284" w:rsidRDefault="002F14AC" w:rsidP="007867D5">
      <w:pPr>
        <w:pStyle w:val="PR2"/>
      </w:pPr>
      <w:r>
        <w:t xml:space="preserve">USGBC Buyer’s Guide to Green Countertops; accessible at:  </w:t>
      </w:r>
      <w:hyperlink r:id="rId34" w:history="1">
        <w:r w:rsidRPr="00210AEE">
          <w:rPr>
            <w:rStyle w:val="Hyperlink"/>
          </w:rPr>
          <w:t>http://greenhomeguide.com/know-how/article/buyers-guide-to-green-countertop-materials</w:t>
        </w:r>
      </w:hyperlink>
      <w:r w:rsidR="00B37284">
        <w:br w:type="page"/>
      </w:r>
    </w:p>
    <w:p w14:paraId="2372179C" w14:textId="77777777" w:rsidR="00A562E9" w:rsidRDefault="00B37284" w:rsidP="007867D5">
      <w:pPr>
        <w:pStyle w:val="EOS"/>
      </w:pPr>
      <w:r>
        <w:lastRenderedPageBreak/>
        <w:t>APPENDIX B – DEFINITIONS</w:t>
      </w:r>
      <w:r w:rsidR="00F270D1">
        <w:t xml:space="preserve">  </w:t>
      </w:r>
    </w:p>
    <w:p w14:paraId="6B00816E" w14:textId="77777777" w:rsidR="00B37284" w:rsidRDefault="00B37284" w:rsidP="007867D5">
      <w:pPr>
        <w:pStyle w:val="ART"/>
      </w:pPr>
      <w:r>
        <w:t>DEFINITIONS</w:t>
      </w:r>
    </w:p>
    <w:p w14:paraId="0D7236ED" w14:textId="77777777" w:rsidR="00B37284" w:rsidRPr="00B010E1" w:rsidRDefault="00B37284" w:rsidP="007867D5">
      <w:pPr>
        <w:pStyle w:val="PR1"/>
      </w:pPr>
      <w:r w:rsidRPr="00191FCF">
        <w:t xml:space="preserve">Absorption:  The process of one substance entering into the inner structure of another.  </w:t>
      </w:r>
      <w:r w:rsidRPr="00191FCF">
        <w:rPr>
          <w:i/>
        </w:rPr>
        <w:t>(U.S. EPA)</w:t>
      </w:r>
      <w:r>
        <w:rPr>
          <w:i/>
        </w:rPr>
        <w:t>.</w:t>
      </w:r>
    </w:p>
    <w:p w14:paraId="71B1CD2E" w14:textId="77777777" w:rsidR="00B37284" w:rsidRPr="004875B7" w:rsidRDefault="00B37284" w:rsidP="007867D5">
      <w:pPr>
        <w:pStyle w:val="PR1"/>
      </w:pPr>
      <w:r w:rsidRPr="00191FCF">
        <w:t>Absorptive Materials:  Materials capable of absorption</w:t>
      </w:r>
      <w:r>
        <w:t>.</w:t>
      </w:r>
    </w:p>
    <w:p w14:paraId="4D19488F" w14:textId="77777777" w:rsidR="00B37284" w:rsidRPr="004875B7" w:rsidRDefault="00B37284" w:rsidP="007867D5">
      <w:pPr>
        <w:pStyle w:val="PR1"/>
      </w:pPr>
      <w:r w:rsidRPr="00191FCF">
        <w:t xml:space="preserve">Adsorption: The adhesion of a thin film of liquid or gases to the surface of a solid substance. </w:t>
      </w:r>
      <w:r w:rsidRPr="00191FCF">
        <w:rPr>
          <w:i/>
        </w:rPr>
        <w:t>(U.S. EPA)</w:t>
      </w:r>
      <w:r>
        <w:rPr>
          <w:i/>
        </w:rPr>
        <w:t>.</w:t>
      </w:r>
    </w:p>
    <w:p w14:paraId="5E0170B0" w14:textId="77777777" w:rsidR="00B37284" w:rsidRPr="004875B7" w:rsidRDefault="00B37284" w:rsidP="007867D5">
      <w:pPr>
        <w:pStyle w:val="PR1"/>
      </w:pPr>
      <w:r w:rsidRPr="00191FCF">
        <w:t xml:space="preserve">Air Change Rate:  Ratio of volume of conditioned air brought into the emission test chamber or building space per unit time to the chamber or building space volume.  </w:t>
      </w:r>
      <w:r w:rsidRPr="00191FCF">
        <w:rPr>
          <w:i/>
        </w:rPr>
        <w:t>(CDPH IAQ Standard Method V1.1, 2010)</w:t>
      </w:r>
      <w:r>
        <w:rPr>
          <w:i/>
        </w:rPr>
        <w:t>.</w:t>
      </w:r>
    </w:p>
    <w:p w14:paraId="0E9BFD0F" w14:textId="77777777" w:rsidR="00B37284" w:rsidRPr="004875B7" w:rsidRDefault="00B37284" w:rsidP="007867D5">
      <w:pPr>
        <w:pStyle w:val="PR1"/>
      </w:pPr>
      <w:r w:rsidRPr="00191FCF">
        <w:rPr>
          <w:bCs/>
        </w:rPr>
        <w:t>Allergen:</w:t>
      </w:r>
      <w:r w:rsidRPr="00191FCF">
        <w:t xml:space="preserve"> A chemical or biological substance (e.g., pollen, animal dander, or house dust mite proteins) that induces an allergic state or reaction, characterized by hypersensitivity.  A substance that induces allergic reaction.  </w:t>
      </w:r>
      <w:r w:rsidRPr="00191FCF">
        <w:rPr>
          <w:i/>
        </w:rPr>
        <w:t>(US EPA, 2012)</w:t>
      </w:r>
      <w:r>
        <w:rPr>
          <w:i/>
        </w:rPr>
        <w:t>.</w:t>
      </w:r>
    </w:p>
    <w:p w14:paraId="1147D0EA" w14:textId="77777777" w:rsidR="00B37284" w:rsidRPr="004875B7" w:rsidRDefault="00B37284" w:rsidP="007867D5">
      <w:pPr>
        <w:pStyle w:val="PR1"/>
      </w:pPr>
      <w:r w:rsidRPr="00191FCF">
        <w:rPr>
          <w:bCs/>
        </w:rPr>
        <w:t>Annoyance:</w:t>
      </w:r>
      <w:r w:rsidRPr="00191FCF">
        <w:t xml:space="preserve"> A general feeling of displeasure or adverse psychological reaction toward a source. Associated with disturbance, distress and frustration.  </w:t>
      </w:r>
      <w:r w:rsidRPr="00191FCF">
        <w:rPr>
          <w:i/>
        </w:rPr>
        <w:t>(US EPA, 2012)</w:t>
      </w:r>
      <w:r>
        <w:rPr>
          <w:i/>
        </w:rPr>
        <w:t>.</w:t>
      </w:r>
    </w:p>
    <w:p w14:paraId="0B2657C9" w14:textId="77777777" w:rsidR="00B37284" w:rsidRPr="004875B7" w:rsidRDefault="00B37284" w:rsidP="007867D5">
      <w:pPr>
        <w:pStyle w:val="PR1"/>
      </w:pPr>
      <w:r w:rsidRPr="00191FCF">
        <w:t xml:space="preserve">ASHRAE:  American Society of Heating, Refrigerating, and Air-Conditioning Engineers is an international group which is organized for the purpose of advancing the arts and sciences of heating, ventilation, air conditioning and refrigeration through research, standards writing, continuing education and publications. See </w:t>
      </w:r>
      <w:hyperlink r:id="rId35" w:history="1">
        <w:r w:rsidRPr="00210AEE">
          <w:rPr>
            <w:rStyle w:val="Hyperlink"/>
            <w:color w:val="000000" w:themeColor="text1"/>
            <w:szCs w:val="22"/>
          </w:rPr>
          <w:t>www.ashrae.org</w:t>
        </w:r>
      </w:hyperlink>
      <w:r w:rsidRPr="00191FCF">
        <w:t xml:space="preserve">.  </w:t>
      </w:r>
      <w:r w:rsidRPr="00191FCF">
        <w:rPr>
          <w:i/>
        </w:rPr>
        <w:t>(US EPA, 2012)</w:t>
      </w:r>
      <w:r>
        <w:rPr>
          <w:i/>
        </w:rPr>
        <w:t>.</w:t>
      </w:r>
    </w:p>
    <w:p w14:paraId="59026507" w14:textId="77777777" w:rsidR="00B37284" w:rsidRPr="004875B7" w:rsidRDefault="00B37284" w:rsidP="007867D5">
      <w:pPr>
        <w:pStyle w:val="PR1"/>
      </w:pPr>
      <w:r w:rsidRPr="00191FCF">
        <w:rPr>
          <w:bCs/>
        </w:rPr>
        <w:t>Asthma:</w:t>
      </w:r>
      <w:r w:rsidRPr="00191FCF">
        <w:t xml:space="preserve">  A condition marked by recurrent attacks of difficult or labored breathing and wheezing resulting from spasmodic contraction and hypersecretion of the bronchi. It is caused by exposure to allergens such as drugs, foods, environmental pollutants, or intrinsic factors.  </w:t>
      </w:r>
      <w:r w:rsidRPr="00191FCF">
        <w:rPr>
          <w:i/>
        </w:rPr>
        <w:t>(US EPA, 2012)</w:t>
      </w:r>
      <w:r>
        <w:rPr>
          <w:i/>
        </w:rPr>
        <w:t>.</w:t>
      </w:r>
    </w:p>
    <w:p w14:paraId="4BEAA16C" w14:textId="77777777" w:rsidR="00B37284" w:rsidRPr="004875B7" w:rsidRDefault="00B37284" w:rsidP="007867D5">
      <w:pPr>
        <w:pStyle w:val="PR1"/>
      </w:pPr>
      <w:r w:rsidRPr="00191FCF">
        <w:t>ASTM</w:t>
      </w:r>
      <w:r>
        <w:t xml:space="preserve"> International</w:t>
      </w:r>
      <w:r w:rsidRPr="00191FCF">
        <w:t xml:space="preserve">:  American Society for Testing and Materials, a consensus-based standard setting organization. See </w:t>
      </w:r>
      <w:hyperlink r:id="rId36" w:history="1">
        <w:r w:rsidRPr="00210AEE">
          <w:rPr>
            <w:rStyle w:val="Hyperlink"/>
            <w:color w:val="000000" w:themeColor="text1"/>
            <w:szCs w:val="22"/>
          </w:rPr>
          <w:t>www.astm.org</w:t>
        </w:r>
      </w:hyperlink>
      <w:r w:rsidRPr="00191FCF">
        <w:t xml:space="preserve">.  </w:t>
      </w:r>
      <w:r w:rsidRPr="00191FCF">
        <w:rPr>
          <w:i/>
        </w:rPr>
        <w:t>(US EPA, 2012)</w:t>
      </w:r>
      <w:r>
        <w:rPr>
          <w:i/>
        </w:rPr>
        <w:t>.</w:t>
      </w:r>
    </w:p>
    <w:p w14:paraId="033F8AF3" w14:textId="77777777" w:rsidR="00B37284" w:rsidRPr="004875B7" w:rsidRDefault="00B37284" w:rsidP="007867D5">
      <w:pPr>
        <w:pStyle w:val="PR1"/>
      </w:pPr>
      <w:r w:rsidRPr="00191FCF">
        <w:rPr>
          <w:bCs/>
        </w:rPr>
        <w:t>Breathing Zone:</w:t>
      </w:r>
      <w:r w:rsidRPr="00191FCF">
        <w:t xml:space="preserve">  Area of a room in which occupants breathe as they stand, sit, or lie down.  </w:t>
      </w:r>
      <w:r w:rsidRPr="00191FCF">
        <w:rPr>
          <w:i/>
        </w:rPr>
        <w:t>(US EPA, 2012)</w:t>
      </w:r>
      <w:r>
        <w:rPr>
          <w:i/>
        </w:rPr>
        <w:t>.</w:t>
      </w:r>
    </w:p>
    <w:p w14:paraId="37C2302B" w14:textId="34276B3D" w:rsidR="00B37284" w:rsidRPr="004875B7" w:rsidRDefault="00B37284" w:rsidP="007867D5">
      <w:pPr>
        <w:pStyle w:val="PR1"/>
      </w:pPr>
      <w:r w:rsidRPr="00191FCF">
        <w:t>Building Flush Out: A process used to remove VOCs from a building by operating the buildi</w:t>
      </w:r>
      <w:r w:rsidR="00744505">
        <w:t xml:space="preserve">ng’s HVAC system at 100 percent, </w:t>
      </w:r>
      <w:r w:rsidR="00744505" w:rsidRPr="00191FCF">
        <w:t xml:space="preserve">tempered </w:t>
      </w:r>
      <w:r w:rsidR="00744505">
        <w:t>outside air</w:t>
      </w:r>
      <w:r w:rsidRPr="00191FCF">
        <w:t xml:space="preserve"> for a specific period of time</w:t>
      </w:r>
      <w:r>
        <w:t>.</w:t>
      </w:r>
    </w:p>
    <w:p w14:paraId="2FBEBBB0" w14:textId="77777777" w:rsidR="00B37284" w:rsidRPr="004875B7" w:rsidRDefault="00B37284" w:rsidP="007867D5">
      <w:pPr>
        <w:pStyle w:val="PR1"/>
      </w:pPr>
      <w:r w:rsidRPr="00191FCF">
        <w:rPr>
          <w:bCs/>
        </w:rPr>
        <w:t xml:space="preserve">Building-Related Illness (BRI): </w:t>
      </w:r>
      <w:r w:rsidRPr="00191FCF">
        <w:t>Diagnosable illness whose symptoms can be identified and whose cause can be directly attributed to airborne building pollutants (e.g., Legionnaire's disease, hypersensitivity pneumonitis). Also: A discrete, identifiable disease or illness that can be traced to a specific pollutant or source within a building. (Contrast with "</w:t>
      </w:r>
      <w:hyperlink r:id="rId37" w:anchor="sick building syndrome" w:history="1">
        <w:r w:rsidRPr="00210AEE">
          <w:rPr>
            <w:rStyle w:val="Hyperlink"/>
            <w:color w:val="000000" w:themeColor="text1"/>
            <w:szCs w:val="22"/>
          </w:rPr>
          <w:t>Sick building syndrome</w:t>
        </w:r>
      </w:hyperlink>
      <w:r w:rsidRPr="00191FCF">
        <w:t xml:space="preserve">").  </w:t>
      </w:r>
      <w:r w:rsidRPr="00191FCF">
        <w:rPr>
          <w:i/>
        </w:rPr>
        <w:t>(US EPA, 2012)</w:t>
      </w:r>
      <w:r>
        <w:rPr>
          <w:i/>
        </w:rPr>
        <w:t>.</w:t>
      </w:r>
    </w:p>
    <w:p w14:paraId="43332627" w14:textId="77777777" w:rsidR="00B37284" w:rsidRPr="004875B7" w:rsidRDefault="00B37284" w:rsidP="007867D5">
      <w:pPr>
        <w:pStyle w:val="PR1"/>
      </w:pPr>
      <w:r w:rsidRPr="00191FCF">
        <w:t xml:space="preserve">Carcinogen:  A substance that can cause or contribute to cancer.  </w:t>
      </w:r>
      <w:r w:rsidRPr="00191FCF">
        <w:rPr>
          <w:i/>
        </w:rPr>
        <w:t>(US EPA, 2012)</w:t>
      </w:r>
      <w:r>
        <w:rPr>
          <w:i/>
        </w:rPr>
        <w:t>.</w:t>
      </w:r>
    </w:p>
    <w:p w14:paraId="1C4B907E" w14:textId="36C17744" w:rsidR="00B37284" w:rsidRPr="004875B7" w:rsidRDefault="00B37284" w:rsidP="007867D5">
      <w:pPr>
        <w:pStyle w:val="PR1"/>
      </w:pPr>
      <w:r w:rsidRPr="00191FCF">
        <w:lastRenderedPageBreak/>
        <w:t>CDPH/EHLB/Standard Method V1.1:  Standard Method for the Testing and Evaluation of Volatile Organic Chemical Emissions from Indoor Sources Using Environmental Chambers Version 1.1.  Emission testing method for California Specification 01350.  Supersedes previous version “Standard Practice for the Testing of Volatile Organic Emissions from Various Sources Using Small-Scale Environmental Chambers”.  Prepared by Indoor Air Quality Section, Environme</w:t>
      </w:r>
      <w:r w:rsidR="00C65CE1">
        <w:t xml:space="preserve">ntal Health laboratory Branch, </w:t>
      </w:r>
      <w:r w:rsidRPr="00191FCF">
        <w:t>Division of Environmental and Occupational Disease Control, California Department of Public Health.  February</w:t>
      </w:r>
      <w:r w:rsidR="00C65CE1">
        <w:t>,</w:t>
      </w:r>
      <w:r w:rsidRPr="00191FCF">
        <w:t xml:space="preserve"> 2010</w:t>
      </w:r>
      <w:r>
        <w:t>.</w:t>
      </w:r>
    </w:p>
    <w:p w14:paraId="19F301F3" w14:textId="77777777" w:rsidR="00B37284" w:rsidRPr="004875B7" w:rsidRDefault="00B37284" w:rsidP="007867D5">
      <w:pPr>
        <w:pStyle w:val="PR1"/>
      </w:pPr>
      <w:r w:rsidRPr="00191FCF">
        <w:t xml:space="preserve">Concentration:  Mass of VOC per unit air volume expressed at standardized conditions for temperature and pressure (i.e., 298˚ K, 101.3 kPa)  </w:t>
      </w:r>
      <w:r w:rsidRPr="00191FCF">
        <w:rPr>
          <w:i/>
        </w:rPr>
        <w:t>(CDPH IAQ Standard Method V1.1, 2010)</w:t>
      </w:r>
      <w:r>
        <w:rPr>
          <w:i/>
        </w:rPr>
        <w:t>.</w:t>
      </w:r>
    </w:p>
    <w:p w14:paraId="1A9E8865" w14:textId="77777777" w:rsidR="00B37284" w:rsidRPr="004875B7" w:rsidRDefault="00B37284" w:rsidP="007867D5">
      <w:pPr>
        <w:pStyle w:val="PR1"/>
      </w:pPr>
      <w:r w:rsidRPr="00191FCF">
        <w:rPr>
          <w:bCs/>
        </w:rPr>
        <w:t>Contaminant:</w:t>
      </w:r>
      <w:r w:rsidRPr="00191FCF">
        <w:t xml:space="preserve">  Any physical, chemical, biological, or radioactive substance that can adversely affect air, water or soil.  </w:t>
      </w:r>
      <w:r w:rsidRPr="00191FCF">
        <w:rPr>
          <w:i/>
        </w:rPr>
        <w:t>(US EPA, 2012)</w:t>
      </w:r>
      <w:r>
        <w:rPr>
          <w:i/>
        </w:rPr>
        <w:t>.</w:t>
      </w:r>
    </w:p>
    <w:p w14:paraId="4EE3383F" w14:textId="77777777" w:rsidR="00B37284" w:rsidRPr="004875B7" w:rsidRDefault="00B37284" w:rsidP="007867D5">
      <w:pPr>
        <w:pStyle w:val="PR1"/>
      </w:pPr>
      <w:r w:rsidRPr="00191FCF">
        <w:t xml:space="preserve">CREL – Noncancer chronic reference exposure level developed by Cal/EPA OEHHA.  These are inhalation concentrations to which the general population, including sensitive individuals, may be exposed for long periods (10 years or more) without the likelihood of serious adverse systemic effects other than cancer.  </w:t>
      </w:r>
      <w:r w:rsidRPr="00191FCF">
        <w:rPr>
          <w:i/>
        </w:rPr>
        <w:t>(CDPH IAQ Standard Method V1.1, 2010)</w:t>
      </w:r>
      <w:r>
        <w:rPr>
          <w:i/>
        </w:rPr>
        <w:t>.</w:t>
      </w:r>
    </w:p>
    <w:p w14:paraId="7DF1B382" w14:textId="77777777" w:rsidR="00B37284" w:rsidRPr="004875B7" w:rsidRDefault="00B37284" w:rsidP="007867D5">
      <w:pPr>
        <w:pStyle w:val="PR1"/>
      </w:pPr>
      <w:r w:rsidRPr="00191FCF">
        <w:rPr>
          <w:bCs/>
        </w:rPr>
        <w:t>Emission:</w:t>
      </w:r>
      <w:r w:rsidRPr="00191FCF">
        <w:t xml:space="preserve">  Pollution discharge from a source.  </w:t>
      </w:r>
      <w:r w:rsidRPr="00191FCF">
        <w:rPr>
          <w:i/>
        </w:rPr>
        <w:t>(US EPA, 2012)</w:t>
      </w:r>
      <w:r>
        <w:rPr>
          <w:i/>
        </w:rPr>
        <w:t>.</w:t>
      </w:r>
    </w:p>
    <w:p w14:paraId="3C806E46" w14:textId="77777777" w:rsidR="00B37284" w:rsidRPr="004875B7" w:rsidRDefault="00B37284" w:rsidP="007867D5">
      <w:pPr>
        <w:pStyle w:val="PR1"/>
      </w:pPr>
      <w:r w:rsidRPr="00191FCF">
        <w:t xml:space="preserve">Emission Factor:  Mass of VOC emitted from a specific unit area of product surface per unit time.  Other unit measures such as product mass or length may be used as appropriate.  </w:t>
      </w:r>
      <w:r w:rsidRPr="00191FCF">
        <w:rPr>
          <w:i/>
        </w:rPr>
        <w:t>(CDPH IAQ Standard Method V1.1, 2010)</w:t>
      </w:r>
      <w:r>
        <w:rPr>
          <w:i/>
        </w:rPr>
        <w:t>.</w:t>
      </w:r>
    </w:p>
    <w:p w14:paraId="26134A93" w14:textId="77777777" w:rsidR="00B37284" w:rsidRPr="00BB2046" w:rsidRDefault="00B37284" w:rsidP="007867D5">
      <w:pPr>
        <w:pStyle w:val="PR1"/>
      </w:pPr>
      <w:r w:rsidRPr="00191FCF">
        <w:t xml:space="preserve">Emission Rate:  Mass of VOC emitted by an entire product or test specimen per unit time.  </w:t>
      </w:r>
      <w:r w:rsidRPr="00191FCF">
        <w:rPr>
          <w:i/>
        </w:rPr>
        <w:t>(CDPH IAQ Standard Method V1.1, 2010)</w:t>
      </w:r>
      <w:r>
        <w:rPr>
          <w:i/>
        </w:rPr>
        <w:t>.</w:t>
      </w:r>
    </w:p>
    <w:p w14:paraId="4D20A665" w14:textId="77777777" w:rsidR="00B37284" w:rsidRPr="00BB2046" w:rsidRDefault="00B37284" w:rsidP="007867D5">
      <w:pPr>
        <w:pStyle w:val="PR1"/>
      </w:pPr>
      <w:r w:rsidRPr="00191FCF">
        <w:t xml:space="preserve">Emission Test Chamber:  Non-contaminating enclosure of defined volume with controlled environmental conditions for inlet air flow rate, temperature and humidity used for determination of VOC emissions from product test specimens. </w:t>
      </w:r>
      <w:r w:rsidRPr="00191FCF">
        <w:rPr>
          <w:i/>
        </w:rPr>
        <w:t xml:space="preserve"> (CDPH IAQ Standard Method V1.1, 2010)</w:t>
      </w:r>
      <w:r>
        <w:rPr>
          <w:i/>
        </w:rPr>
        <w:t>.</w:t>
      </w:r>
    </w:p>
    <w:p w14:paraId="789C44FC" w14:textId="43283A62" w:rsidR="00B37284" w:rsidRPr="00BB2046" w:rsidRDefault="00B37284" w:rsidP="007867D5">
      <w:pPr>
        <w:pStyle w:val="PR1"/>
      </w:pPr>
      <w:r w:rsidRPr="00191FCF">
        <w:t xml:space="preserve">EPA:  United States Environmental Protection Agency.  </w:t>
      </w:r>
    </w:p>
    <w:p w14:paraId="1E0F5EA7" w14:textId="77777777" w:rsidR="00B37284" w:rsidRPr="00BB2046" w:rsidRDefault="00B37284" w:rsidP="007867D5">
      <w:pPr>
        <w:pStyle w:val="PR1"/>
      </w:pPr>
      <w:r w:rsidRPr="00191FCF">
        <w:rPr>
          <w:bCs/>
        </w:rPr>
        <w:t xml:space="preserve">HEPA:  </w:t>
      </w:r>
      <w:r w:rsidRPr="00191FCF">
        <w:t xml:space="preserve">High efficiency particulate arrestance (filters).  </w:t>
      </w:r>
      <w:r w:rsidRPr="00191FCF">
        <w:rPr>
          <w:i/>
        </w:rPr>
        <w:t>(US EPA, 2012)</w:t>
      </w:r>
      <w:r>
        <w:rPr>
          <w:i/>
        </w:rPr>
        <w:t>.</w:t>
      </w:r>
    </w:p>
    <w:p w14:paraId="4EAEDDBF" w14:textId="77777777" w:rsidR="00B37284" w:rsidRPr="00BB2046" w:rsidRDefault="00B37284" w:rsidP="007867D5">
      <w:pPr>
        <w:pStyle w:val="PR1"/>
      </w:pPr>
      <w:r w:rsidRPr="00191FCF">
        <w:rPr>
          <w:bCs/>
        </w:rPr>
        <w:t>Hypersensitivity:</w:t>
      </w:r>
      <w:r w:rsidRPr="00191FCF">
        <w:t xml:space="preserve">  The immune system's exaggerated response to an allergen.  </w:t>
      </w:r>
      <w:r w:rsidRPr="00191FCF">
        <w:rPr>
          <w:i/>
        </w:rPr>
        <w:t>(US EPA, 2012)</w:t>
      </w:r>
      <w:r>
        <w:rPr>
          <w:i/>
        </w:rPr>
        <w:t>.</w:t>
      </w:r>
    </w:p>
    <w:p w14:paraId="257DC141" w14:textId="77777777" w:rsidR="00B37284" w:rsidRPr="00BB2046" w:rsidRDefault="00B37284" w:rsidP="007867D5">
      <w:pPr>
        <w:pStyle w:val="PR1"/>
      </w:pPr>
      <w:r w:rsidRPr="00191FCF">
        <w:rPr>
          <w:bCs/>
        </w:rPr>
        <w:t>Hypersensitivity Diseases:</w:t>
      </w:r>
      <w:r w:rsidRPr="00191FCF">
        <w:t xml:space="preserve">  Diseases characterized by allergic responses to animal antigens. The hypersensitivity diseases most clearly associated with indoor air quality are asthma, rhinitis, and hypersensitivity pneumonitis. Hypersensitivity pneumonitis is a rare but serious disease that involves progressive lung damage as long as there is exposure to the causative agent.  </w:t>
      </w:r>
      <w:r w:rsidRPr="00191FCF">
        <w:rPr>
          <w:i/>
        </w:rPr>
        <w:t>(US EPA, 2012)</w:t>
      </w:r>
      <w:r>
        <w:rPr>
          <w:i/>
        </w:rPr>
        <w:t>.</w:t>
      </w:r>
    </w:p>
    <w:p w14:paraId="646B9E6C" w14:textId="77777777" w:rsidR="00B37284" w:rsidRPr="00BB2046" w:rsidRDefault="00B37284" w:rsidP="007867D5">
      <w:pPr>
        <w:pStyle w:val="PR1"/>
      </w:pPr>
      <w:r w:rsidRPr="00191FCF">
        <w:rPr>
          <w:bCs/>
        </w:rPr>
        <w:t>IAQ Management Plan:</w:t>
      </w:r>
      <w:r w:rsidRPr="00191FCF">
        <w:t xml:space="preserve">  A set of flexible and specific steps for preventing and resolving IAQ problems.  </w:t>
      </w:r>
      <w:r w:rsidRPr="00191FCF">
        <w:rPr>
          <w:i/>
        </w:rPr>
        <w:t>(US EPA, 2012)</w:t>
      </w:r>
      <w:r>
        <w:rPr>
          <w:i/>
        </w:rPr>
        <w:t>.</w:t>
      </w:r>
    </w:p>
    <w:p w14:paraId="0FA97DD6" w14:textId="7EF0BC71" w:rsidR="00B37284" w:rsidRPr="003D5EC6" w:rsidRDefault="00B37284" w:rsidP="007867D5">
      <w:pPr>
        <w:pStyle w:val="PR1"/>
      </w:pPr>
      <w:r w:rsidRPr="00191FCF">
        <w:t xml:space="preserve">Indoor Air Quality (IAQ):  </w:t>
      </w:r>
      <w:r w:rsidR="00823491">
        <w:t>As defined in ANSI</w:t>
      </w:r>
      <w:r w:rsidRPr="00191FCF">
        <w:t xml:space="preserve">ASHRAE </w:t>
      </w:r>
      <w:r w:rsidR="00823491">
        <w:t xml:space="preserve">Standard 62.2, </w:t>
      </w:r>
      <w:r w:rsidRPr="00191FCF">
        <w:t xml:space="preserve">acceptable indoor air quality </w:t>
      </w:r>
      <w:r w:rsidR="00823491">
        <w:t>is</w:t>
      </w:r>
      <w:r w:rsidR="00823491" w:rsidRPr="00191FCF">
        <w:t xml:space="preserve"> </w:t>
      </w:r>
      <w:r w:rsidR="00B74E25">
        <w:t>“</w:t>
      </w:r>
      <w:r w:rsidRPr="00191FCF">
        <w:t xml:space="preserve">air </w:t>
      </w:r>
      <w:r w:rsidR="00B74E25">
        <w:t>towards</w:t>
      </w:r>
      <w:r w:rsidR="00B74E25" w:rsidRPr="00191FCF">
        <w:t xml:space="preserve"> </w:t>
      </w:r>
      <w:r w:rsidRPr="00191FCF">
        <w:t xml:space="preserve">which </w:t>
      </w:r>
      <w:r w:rsidR="00B74E25">
        <w:t xml:space="preserve">a substantial majority </w:t>
      </w:r>
      <w:r w:rsidR="00B74E25" w:rsidRPr="00191FCF">
        <w:t xml:space="preserve">of </w:t>
      </w:r>
      <w:r w:rsidR="00B74E25">
        <w:t>occupants</w:t>
      </w:r>
      <w:r w:rsidR="00B74E25" w:rsidRPr="00191FCF">
        <w:t xml:space="preserve"> express</w:t>
      </w:r>
      <w:r w:rsidR="00B74E25">
        <w:t xml:space="preserve"> no</w:t>
      </w:r>
      <w:r w:rsidR="00B74E25" w:rsidRPr="00191FCF">
        <w:t xml:space="preserve"> dissatisfaction</w:t>
      </w:r>
      <w:r w:rsidR="00B74E25">
        <w:t xml:space="preserve"> with </w:t>
      </w:r>
      <w:r w:rsidR="00B74E25">
        <w:lastRenderedPageBreak/>
        <w:t>respect to odor and sensory irritation and in which</w:t>
      </w:r>
      <w:r w:rsidR="0059184A">
        <w:t xml:space="preserve"> </w:t>
      </w:r>
      <w:r w:rsidRPr="00191FCF">
        <w:t>there are no</w:t>
      </w:r>
      <w:r w:rsidR="00B74E25">
        <w:t>t likely to be</w:t>
      </w:r>
      <w:r w:rsidRPr="00191FCF">
        <w:t xml:space="preserve"> contaminates at concentrations </w:t>
      </w:r>
      <w:r w:rsidR="00B74E25">
        <w:t>that are known to pos</w:t>
      </w:r>
      <w:r w:rsidR="0059184A">
        <w:t>e</w:t>
      </w:r>
      <w:r w:rsidR="00B74E25">
        <w:t xml:space="preserve"> a health risk.”</w:t>
      </w:r>
      <w:r w:rsidRPr="00191FCF">
        <w:t xml:space="preserve"> </w:t>
      </w:r>
    </w:p>
    <w:p w14:paraId="744D4418" w14:textId="77777777" w:rsidR="00B37284" w:rsidRPr="003D5EC6" w:rsidRDefault="00B37284" w:rsidP="007867D5">
      <w:pPr>
        <w:pStyle w:val="PR1"/>
      </w:pPr>
      <w:r w:rsidRPr="00191FCF">
        <w:t xml:space="preserve">Indoor Air Pollutant:  Particles and dust, fibers, mists, bioaerosols, and gases or vapors. </w:t>
      </w:r>
      <w:r w:rsidRPr="00191FCF">
        <w:rPr>
          <w:i/>
        </w:rPr>
        <w:t xml:space="preserve"> (US EPA, 2012)</w:t>
      </w:r>
      <w:r>
        <w:rPr>
          <w:i/>
        </w:rPr>
        <w:t>.</w:t>
      </w:r>
    </w:p>
    <w:p w14:paraId="533A4640" w14:textId="77777777" w:rsidR="00B37284" w:rsidRPr="003D5EC6" w:rsidRDefault="00B37284" w:rsidP="007867D5">
      <w:pPr>
        <w:pStyle w:val="PR1"/>
      </w:pPr>
      <w:r w:rsidRPr="00191FCF">
        <w:t xml:space="preserve">Loading Factor:  Ratio of the nominal exposed surface area of the product or the test specimen to the volume of the building space or the emission test chamber.  </w:t>
      </w:r>
      <w:r w:rsidRPr="00191FCF">
        <w:rPr>
          <w:i/>
        </w:rPr>
        <w:t>(CDPH IAQ Standard Method V1.1, 2010)</w:t>
      </w:r>
      <w:r>
        <w:rPr>
          <w:i/>
        </w:rPr>
        <w:t>.</w:t>
      </w:r>
    </w:p>
    <w:p w14:paraId="7DA5F710" w14:textId="77777777" w:rsidR="00B37284" w:rsidRPr="003D5EC6" w:rsidRDefault="00B37284" w:rsidP="007867D5">
      <w:pPr>
        <w:pStyle w:val="PR1"/>
      </w:pPr>
      <w:r w:rsidRPr="00191FCF">
        <w:rPr>
          <w:bCs/>
        </w:rPr>
        <w:t>Mutagen:</w:t>
      </w:r>
      <w:r w:rsidRPr="00191FCF">
        <w:t xml:space="preserve">  Any substance that can cause a change in genetic material.  </w:t>
      </w:r>
      <w:r w:rsidRPr="00191FCF">
        <w:rPr>
          <w:i/>
        </w:rPr>
        <w:t>(US EPA, 2012)</w:t>
      </w:r>
      <w:r>
        <w:rPr>
          <w:i/>
        </w:rPr>
        <w:t>.</w:t>
      </w:r>
    </w:p>
    <w:p w14:paraId="63041DA4" w14:textId="77777777" w:rsidR="00B37284" w:rsidRPr="003D5EC6" w:rsidRDefault="00B37284" w:rsidP="007867D5">
      <w:pPr>
        <w:pStyle w:val="PR1"/>
      </w:pPr>
      <w:r w:rsidRPr="00191FCF">
        <w:rPr>
          <w:bCs/>
        </w:rPr>
        <w:t>Mutagenic:</w:t>
      </w:r>
      <w:r w:rsidRPr="00191FCF">
        <w:t xml:space="preserve">  Able to cause a permanent change in the structure of DNA.  </w:t>
      </w:r>
      <w:r w:rsidRPr="00191FCF">
        <w:rPr>
          <w:i/>
        </w:rPr>
        <w:t>(US EPA, 2012)</w:t>
      </w:r>
      <w:r>
        <w:rPr>
          <w:i/>
        </w:rPr>
        <w:t>.</w:t>
      </w:r>
    </w:p>
    <w:p w14:paraId="2FF20E19" w14:textId="77777777" w:rsidR="00B37284" w:rsidRPr="003D5EC6" w:rsidRDefault="00B37284" w:rsidP="007867D5">
      <w:pPr>
        <w:pStyle w:val="PR1"/>
      </w:pPr>
      <w:r w:rsidRPr="00191FCF">
        <w:t xml:space="preserve">Off-Gassing:  The production of gases from the chemical deterioration of a substance over time, and the release of gases from materials into the air.  </w:t>
      </w:r>
      <w:r w:rsidRPr="00191FCF">
        <w:rPr>
          <w:i/>
        </w:rPr>
        <w:t>(US EPA, 2012)</w:t>
      </w:r>
      <w:r>
        <w:rPr>
          <w:i/>
        </w:rPr>
        <w:t>.</w:t>
      </w:r>
    </w:p>
    <w:p w14:paraId="74138FAC" w14:textId="77777777" w:rsidR="00B37284" w:rsidRPr="003D5EC6" w:rsidRDefault="00B37284" w:rsidP="007867D5">
      <w:pPr>
        <w:pStyle w:val="PR1"/>
      </w:pPr>
      <w:r w:rsidRPr="00191FCF">
        <w:rPr>
          <w:bCs/>
        </w:rPr>
        <w:t>Organic Compounds</w:t>
      </w:r>
      <w:r w:rsidRPr="00191FCF">
        <w:t xml:space="preserve">:  Chemicals that contain carbon.  Volatile organic compounds vaporize at room temperature and pressure. They are found in many indoor sources, including many common household products and building materials.  </w:t>
      </w:r>
      <w:r w:rsidRPr="00191FCF">
        <w:rPr>
          <w:i/>
        </w:rPr>
        <w:t>(US EPA, 2012)</w:t>
      </w:r>
      <w:r>
        <w:rPr>
          <w:i/>
        </w:rPr>
        <w:t>.</w:t>
      </w:r>
    </w:p>
    <w:p w14:paraId="2D7BBB56" w14:textId="77777777" w:rsidR="00B37284" w:rsidRPr="003D5EC6" w:rsidRDefault="00B37284" w:rsidP="007867D5">
      <w:pPr>
        <w:pStyle w:val="PR1"/>
      </w:pPr>
      <w:r w:rsidRPr="00191FCF">
        <w:rPr>
          <w:bCs/>
        </w:rPr>
        <w:t>Particulate Matter:</w:t>
      </w:r>
      <w:r w:rsidRPr="00191FCF">
        <w:t xml:space="preserve">  A state of matter in which solid or liquid substances exist in the form of aggregated molecules or particles. Airborne particulate matter is typically in the size range of 0.01 to 100 micrometers.  </w:t>
      </w:r>
      <w:r w:rsidRPr="00191FCF">
        <w:rPr>
          <w:i/>
        </w:rPr>
        <w:t>(US EPA, 2012)</w:t>
      </w:r>
      <w:r>
        <w:rPr>
          <w:i/>
        </w:rPr>
        <w:t>.</w:t>
      </w:r>
    </w:p>
    <w:p w14:paraId="7ECEA3D6" w14:textId="77777777" w:rsidR="00B37284" w:rsidRPr="006A4A5A" w:rsidRDefault="00B37284" w:rsidP="007867D5">
      <w:pPr>
        <w:pStyle w:val="PR1"/>
      </w:pPr>
      <w:r w:rsidRPr="00191FCF">
        <w:t>Preconditioning:  A process of airing out building materials and furnishings to allow the VOCs to emit prior to installation in a building. The preconditioning of unwrapped materials and furnishings should be accomplished in a well ventilated space</w:t>
      </w:r>
      <w:r>
        <w:t>.</w:t>
      </w:r>
    </w:p>
    <w:p w14:paraId="58704187" w14:textId="77777777" w:rsidR="00B37284" w:rsidRPr="006A4A5A" w:rsidRDefault="00B37284" w:rsidP="007867D5">
      <w:pPr>
        <w:pStyle w:val="PR1"/>
      </w:pPr>
      <w:r w:rsidRPr="00191FCF">
        <w:rPr>
          <w:bCs/>
        </w:rPr>
        <w:t>Pressed Wood Products</w:t>
      </w:r>
      <w:r w:rsidRPr="00191FCF">
        <w:t xml:space="preserve">:  A group of materials used in building and furniture construction that are made from wood veneers, particles, or fibers bonded together with an adhesive under heat and pressure. </w:t>
      </w:r>
      <w:r w:rsidRPr="00191FCF">
        <w:rPr>
          <w:i/>
        </w:rPr>
        <w:t xml:space="preserve"> (US EPA, 2012)</w:t>
      </w:r>
      <w:r>
        <w:rPr>
          <w:i/>
        </w:rPr>
        <w:t>.</w:t>
      </w:r>
    </w:p>
    <w:p w14:paraId="658EAA63" w14:textId="41810CD8" w:rsidR="00B37284" w:rsidRPr="006A4A5A" w:rsidRDefault="00B37284" w:rsidP="007867D5">
      <w:pPr>
        <w:pStyle w:val="PR1"/>
      </w:pPr>
      <w:r w:rsidRPr="00191FCF">
        <w:t xml:space="preserve">Product Category:  General group of similar products intended for a particular application and performance, such as </w:t>
      </w:r>
      <w:r w:rsidR="00C65CE1">
        <w:t>vinyl composition tile (</w:t>
      </w:r>
      <w:r w:rsidRPr="00191FCF">
        <w:t>VCT</w:t>
      </w:r>
      <w:r w:rsidR="00C65CE1">
        <w:t>)</w:t>
      </w:r>
      <w:r w:rsidRPr="00191FCF">
        <w:t xml:space="preserve">, laminated wood flooring, broadloom carpet, sheet vinyl flooring, plywood, </w:t>
      </w:r>
      <w:r w:rsidR="00C65CE1">
        <w:t>oriented strand board (</w:t>
      </w:r>
      <w:r w:rsidRPr="00191FCF">
        <w:t>OSB</w:t>
      </w:r>
      <w:r w:rsidR="00C65CE1">
        <w:t>)</w:t>
      </w:r>
      <w:r w:rsidRPr="00191FCF">
        <w:t xml:space="preserve">, interior paint, etc.  </w:t>
      </w:r>
      <w:r w:rsidRPr="00191FCF">
        <w:rPr>
          <w:i/>
        </w:rPr>
        <w:t>(CDPH IAQ Standard Method V1.1, 2010)</w:t>
      </w:r>
      <w:r>
        <w:rPr>
          <w:i/>
        </w:rPr>
        <w:t>.</w:t>
      </w:r>
    </w:p>
    <w:p w14:paraId="2D2B89B5" w14:textId="77777777" w:rsidR="00B37284" w:rsidRPr="006A4A5A" w:rsidRDefault="00B37284" w:rsidP="007867D5">
      <w:pPr>
        <w:pStyle w:val="PR1"/>
      </w:pPr>
      <w:r w:rsidRPr="00191FCF">
        <w:t xml:space="preserve">Product Subcategory:  Group of products within a product category having similar chemistry, construction, weight, formulation and manufacturing process and which may have a similar VOC emissions profile.  </w:t>
      </w:r>
      <w:r w:rsidRPr="00191FCF">
        <w:rPr>
          <w:i/>
        </w:rPr>
        <w:t>(CDPH IAQ Standard Method V1.1, 2010)</w:t>
      </w:r>
      <w:r>
        <w:rPr>
          <w:i/>
        </w:rPr>
        <w:t>.</w:t>
      </w:r>
    </w:p>
    <w:p w14:paraId="7A4EB440" w14:textId="77777777" w:rsidR="00B37284" w:rsidRPr="006A4A5A" w:rsidRDefault="00B37284" w:rsidP="007867D5">
      <w:pPr>
        <w:pStyle w:val="PR1"/>
      </w:pPr>
      <w:r w:rsidRPr="00191FCF">
        <w:rPr>
          <w:bCs/>
        </w:rPr>
        <w:t>Respirable Particles:</w:t>
      </w:r>
      <w:r w:rsidRPr="00191FCF">
        <w:t xml:space="preserve">  Respirable particles are those that penetrate into and are deposited in the nonciliated portion of the lung. Particles greater than 10 micrometers aerodynamic diameter are not respirable.  </w:t>
      </w:r>
      <w:r w:rsidRPr="00191FCF">
        <w:rPr>
          <w:i/>
        </w:rPr>
        <w:t>(US EPA, 2012)</w:t>
      </w:r>
      <w:r>
        <w:rPr>
          <w:i/>
        </w:rPr>
        <w:t>.</w:t>
      </w:r>
    </w:p>
    <w:p w14:paraId="3865F0BD" w14:textId="583857DC" w:rsidR="00B37284" w:rsidRPr="006A4A5A" w:rsidRDefault="00B37284" w:rsidP="007867D5">
      <w:pPr>
        <w:pStyle w:val="PR1"/>
      </w:pPr>
      <w:r w:rsidRPr="00191FCF">
        <w:rPr>
          <w:bCs/>
        </w:rPr>
        <w:t>Sick Building Syndrome (SBS)</w:t>
      </w:r>
      <w:r w:rsidRPr="00191FCF">
        <w:t>: Term that refers to a set of symptoms that affect some number of building occupants during the time they spend in the building and diminish or go away during periods</w:t>
      </w:r>
      <w:r w:rsidR="00744505">
        <w:t xml:space="preserve"> when they leave the building. SBS c</w:t>
      </w:r>
      <w:r w:rsidRPr="00191FCF">
        <w:t>annot be traced to specific pollutants or sources within the building. (Contrast with "</w:t>
      </w:r>
      <w:hyperlink r:id="rId38" w:anchor="building-related illness" w:history="1">
        <w:r w:rsidRPr="00210AEE">
          <w:rPr>
            <w:rStyle w:val="Hyperlink"/>
            <w:color w:val="000000" w:themeColor="text1"/>
            <w:szCs w:val="22"/>
          </w:rPr>
          <w:t>Building related illness</w:t>
        </w:r>
      </w:hyperlink>
      <w:r w:rsidRPr="00191FCF">
        <w:t xml:space="preserve">").  </w:t>
      </w:r>
      <w:r w:rsidRPr="00191FCF">
        <w:rPr>
          <w:i/>
        </w:rPr>
        <w:t>(US EPA, 2012)</w:t>
      </w:r>
      <w:r>
        <w:rPr>
          <w:i/>
        </w:rPr>
        <w:t>.</w:t>
      </w:r>
    </w:p>
    <w:p w14:paraId="39D1554F" w14:textId="77777777" w:rsidR="00B37284" w:rsidRPr="006A4A5A" w:rsidRDefault="00B37284" w:rsidP="007867D5">
      <w:pPr>
        <w:pStyle w:val="PR1"/>
      </w:pPr>
      <w:r w:rsidRPr="00191FCF">
        <w:lastRenderedPageBreak/>
        <w:t>Total Volatile Organic Compounds (</w:t>
      </w:r>
      <w:r w:rsidRPr="00191FCF">
        <w:rPr>
          <w:bCs/>
        </w:rPr>
        <w:t>TVOCs)</w:t>
      </w:r>
      <w:r w:rsidRPr="00191FCF">
        <w:t xml:space="preserve">:  Sum of the concentrations of all identified and unidentified VOCs between and including n-pentane through n-heptadecane (i.e., C5 – C17) as measured by the GC/MS TIC method and expressed as a toluene equivalent value. </w:t>
      </w:r>
      <w:r w:rsidRPr="00191FCF">
        <w:rPr>
          <w:i/>
        </w:rPr>
        <w:t xml:space="preserve"> (CDPH IAQ Standard Method V1.1, 2010)</w:t>
      </w:r>
      <w:r>
        <w:rPr>
          <w:i/>
        </w:rPr>
        <w:t>.</w:t>
      </w:r>
    </w:p>
    <w:p w14:paraId="2EC27897" w14:textId="77777777" w:rsidR="00B37284" w:rsidRPr="006A4A5A" w:rsidRDefault="00B37284" w:rsidP="007867D5">
      <w:pPr>
        <w:pStyle w:val="PR1"/>
      </w:pPr>
      <w:r w:rsidRPr="00191FCF">
        <w:rPr>
          <w:bCs/>
        </w:rPr>
        <w:t>Toxic:</w:t>
      </w:r>
      <w:r w:rsidRPr="00191FCF">
        <w:t xml:space="preserve">  Of, affected by, or caused by a toxin; to cause a poisonous reaction.  </w:t>
      </w:r>
      <w:r w:rsidRPr="00191FCF">
        <w:rPr>
          <w:i/>
        </w:rPr>
        <w:t>(US EPA, 2012)</w:t>
      </w:r>
      <w:r>
        <w:rPr>
          <w:i/>
        </w:rPr>
        <w:t>.</w:t>
      </w:r>
    </w:p>
    <w:p w14:paraId="7598F7DE" w14:textId="77777777" w:rsidR="00B37284" w:rsidRPr="006A4A5A" w:rsidRDefault="00B37284" w:rsidP="007867D5">
      <w:pPr>
        <w:pStyle w:val="PR1"/>
      </w:pPr>
      <w:r w:rsidRPr="00191FCF">
        <w:rPr>
          <w:bCs/>
        </w:rPr>
        <w:t>Volatile:</w:t>
      </w:r>
      <w:r w:rsidRPr="00191FCF">
        <w:t xml:space="preserve">  1. Able to evaporate readily. 2. Able to go to gas phase from a liquid or solid phase.  </w:t>
      </w:r>
      <w:r w:rsidRPr="00191FCF">
        <w:rPr>
          <w:i/>
        </w:rPr>
        <w:t>(US EPA, 2012)</w:t>
      </w:r>
      <w:r>
        <w:rPr>
          <w:i/>
        </w:rPr>
        <w:t>.</w:t>
      </w:r>
    </w:p>
    <w:p w14:paraId="0869F6A3" w14:textId="77777777" w:rsidR="00B37284" w:rsidRPr="006A4A5A" w:rsidRDefault="00B37284" w:rsidP="007867D5">
      <w:pPr>
        <w:pStyle w:val="PR1"/>
      </w:pPr>
      <w:r w:rsidRPr="00191FCF">
        <w:rPr>
          <w:bCs/>
        </w:rPr>
        <w:t xml:space="preserve">Volatile Organic Compounds (VOCs):  </w:t>
      </w:r>
      <w:r w:rsidRPr="00191FCF">
        <w:t xml:space="preserve">Compounds that vaporize (become a gas) at room temperature. Common sources which may emit VOCs into indoor air include housekeeping and maintenance products, and building and furnishing materials. In sufficient quantities, VOCs can cause eye, nose, and throat irritations, headaches, dizziness, visual disorders, memory impairment; some are known to cause cancer in animals; some are suspected of causing, or are known to cause, cancer in humans. At present, not much is known about what health effects occur at the levels of VOCs typically found in public and commercial buildings.  </w:t>
      </w:r>
      <w:r w:rsidRPr="00191FCF">
        <w:rPr>
          <w:i/>
        </w:rPr>
        <w:t>(US EPA, 2012)</w:t>
      </w:r>
      <w:r>
        <w:rPr>
          <w:i/>
        </w:rPr>
        <w:t>.</w:t>
      </w:r>
    </w:p>
    <w:p w14:paraId="64278FC6" w14:textId="77777777" w:rsidR="00B37284" w:rsidRPr="00B37284" w:rsidRDefault="00B37284" w:rsidP="007867D5">
      <w:pPr>
        <w:pStyle w:val="PR1"/>
      </w:pPr>
      <w:r w:rsidRPr="00191FCF">
        <w:t>VOC Content:  Volatile organic compound contained in the product</w:t>
      </w:r>
      <w:r>
        <w:t>.</w:t>
      </w:r>
    </w:p>
    <w:p w14:paraId="5CC3807C" w14:textId="77777777" w:rsidR="00B37284" w:rsidRPr="00B37284" w:rsidRDefault="00B37284" w:rsidP="007867D5">
      <w:pPr>
        <w:pStyle w:val="PR1"/>
      </w:pPr>
      <w:r w:rsidRPr="00191FCF">
        <w:t>VOC Emissions:  Volatile organic compounds emitted by a product into the air</w:t>
      </w:r>
      <w:r>
        <w:t>.</w:t>
      </w:r>
    </w:p>
    <w:p w14:paraId="532501EB" w14:textId="77777777" w:rsidR="00B37284" w:rsidRDefault="00B37284" w:rsidP="007867D5"/>
    <w:sectPr w:rsidR="00B37284" w:rsidSect="007867D5">
      <w:footerReference w:type="even" r:id="rId39"/>
      <w:footerReference w:type="default" r:id="rId40"/>
      <w:footnotePr>
        <w:numRestart w:val="eachSect"/>
      </w:footnotePr>
      <w:endnotePr>
        <w:numFmt w:val="decimal"/>
      </w:endnotePr>
      <w:pgSz w:w="12240" w:h="15840"/>
      <w:pgMar w:top="1440" w:right="1440" w:bottom="1440" w:left="1440" w:header="720" w:footer="1152" w:gutter="0"/>
      <w:pgNumType w:start="1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EF0EFD" w15:done="0"/>
  <w15:commentEx w15:paraId="4EF33614" w15:done="0"/>
  <w15:commentEx w15:paraId="4732449B" w15:done="0"/>
  <w15:commentEx w15:paraId="009FB351" w15:done="0"/>
  <w15:commentEx w15:paraId="0D975511" w15:done="0"/>
  <w15:commentEx w15:paraId="1748D9C5" w15:paraIdParent="0D975511" w15:done="0"/>
  <w15:commentEx w15:paraId="43FE876F" w15:done="0"/>
  <w15:commentEx w15:paraId="5B74D0D2" w15:done="0"/>
  <w15:commentEx w15:paraId="771FC971" w15:done="0"/>
  <w15:commentEx w15:paraId="2D2E550F" w15:done="0"/>
  <w15:commentEx w15:paraId="5C94FBE8" w15:paraIdParent="2D2E550F" w15:done="0"/>
  <w15:commentEx w15:paraId="79ED4E9A" w15:done="0"/>
  <w15:commentEx w15:paraId="374FD1BE" w15:paraIdParent="79ED4E9A" w15:done="0"/>
  <w15:commentEx w15:paraId="79E78F2D" w15:done="0"/>
  <w15:commentEx w15:paraId="57D8E01D" w15:done="0"/>
  <w15:commentEx w15:paraId="40644A5B" w15:paraIdParent="57D8E01D" w15:done="0"/>
  <w15:commentEx w15:paraId="16AFB533" w15:done="0"/>
  <w15:commentEx w15:paraId="0FE0CC7F" w15:paraIdParent="16AFB533" w15:done="0"/>
  <w15:commentEx w15:paraId="65B928FC" w15:done="0"/>
  <w15:commentEx w15:paraId="5411F61A" w15:done="0"/>
  <w15:commentEx w15:paraId="1C0FF90D" w15:done="0"/>
  <w15:commentEx w15:paraId="6D93DEEA" w15:done="0"/>
  <w15:commentEx w15:paraId="74638C5A" w15:paraIdParent="6D93DEEA" w15:done="0"/>
  <w15:commentEx w15:paraId="23B8D7DE" w15:done="0"/>
  <w15:commentEx w15:paraId="625C994C" w15:done="0"/>
  <w15:commentEx w15:paraId="093287A4" w15:done="0"/>
  <w15:commentEx w15:paraId="16B88D9F" w15:done="0"/>
  <w15:commentEx w15:paraId="3C43D840" w15:paraIdParent="16B88D9F" w15:done="0"/>
  <w15:commentEx w15:paraId="392151D9" w15:done="0"/>
  <w15:commentEx w15:paraId="0478241D" w15:done="0"/>
  <w15:commentEx w15:paraId="287AF6F6" w15:paraIdParent="0478241D" w15:done="0"/>
  <w15:commentEx w15:paraId="00D54012" w15:done="0"/>
  <w15:commentEx w15:paraId="178416B4" w15:paraIdParent="00D54012" w15:done="0"/>
  <w15:commentEx w15:paraId="47F53CD3" w15:done="0"/>
  <w15:commentEx w15:paraId="756272D4" w15:paraIdParent="47F53CD3" w15:done="0"/>
  <w15:commentEx w15:paraId="5C13FB18" w15:done="0"/>
  <w15:commentEx w15:paraId="2F14B688" w15:done="0"/>
  <w15:commentEx w15:paraId="4009666B" w15:paraIdParent="2F14B688" w15:done="0"/>
  <w15:commentEx w15:paraId="23333CBA" w15:done="0"/>
  <w15:commentEx w15:paraId="17633D81" w15:paraIdParent="23333CBA" w15:done="0"/>
  <w15:commentEx w15:paraId="065A1FC8" w15:done="0"/>
  <w15:commentEx w15:paraId="07C36BFC" w15:paraIdParent="065A1FC8" w15:done="0"/>
  <w15:commentEx w15:paraId="1ECA64D8" w15:done="0"/>
  <w15:commentEx w15:paraId="7303055E" w15:paraIdParent="1ECA64D8" w15:done="0"/>
  <w15:commentEx w15:paraId="474EF0D6" w15:done="0"/>
  <w15:commentEx w15:paraId="27E567FC" w15:done="0"/>
  <w15:commentEx w15:paraId="5AB4BBBF" w15:paraIdParent="27E567FC" w15:done="0"/>
  <w15:commentEx w15:paraId="66B6789A" w15:done="0"/>
  <w15:commentEx w15:paraId="7AA66CC1" w15:done="0"/>
  <w15:commentEx w15:paraId="1BE40755" w15:done="0"/>
  <w15:commentEx w15:paraId="067585F1" w15:paraIdParent="1BE40755" w15:done="0"/>
  <w15:commentEx w15:paraId="76536069" w15:done="0"/>
  <w15:commentEx w15:paraId="50A7CE87" w15:done="0"/>
  <w15:commentEx w15:paraId="06AA38F7" w15:done="0"/>
  <w15:commentEx w15:paraId="5068F7AF" w15:done="0"/>
  <w15:commentEx w15:paraId="0A7F050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9476D" w14:textId="77777777" w:rsidR="007867D5" w:rsidRDefault="007867D5" w:rsidP="007867D5">
      <w:r>
        <w:separator/>
      </w:r>
    </w:p>
  </w:endnote>
  <w:endnote w:type="continuationSeparator" w:id="0">
    <w:p w14:paraId="252D3893" w14:textId="77777777" w:rsidR="007867D5" w:rsidRDefault="007867D5" w:rsidP="0078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259A3" w14:textId="77777777" w:rsidR="007867D5" w:rsidRDefault="007867D5" w:rsidP="007867D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935A6A" w14:textId="77777777" w:rsidR="007867D5" w:rsidRDefault="007867D5" w:rsidP="007867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A54D1" w14:textId="09E58907" w:rsidR="007867D5" w:rsidRDefault="007867D5" w:rsidP="007867D5">
    <w:pPr>
      <w:rPr>
        <w:noProof/>
      </w:rPr>
    </w:pPr>
    <w:r>
      <w:rPr>
        <w:rStyle w:val="NAM"/>
      </w:rPr>
      <w:t>SUSTAINABILITY REQUIREMENTS - INDOOR AIR QUALITY</w:t>
    </w:r>
    <w:r>
      <w:tab/>
    </w:r>
    <w:r>
      <w:rPr>
        <w:rStyle w:val="NUM"/>
      </w:rPr>
      <w:t>01 81 13.01</w:t>
    </w:r>
    <w:r>
      <w:t xml:space="preserve"> - </w:t>
    </w:r>
  </w:p>
  <w:p w14:paraId="1979A9B3" w14:textId="77777777" w:rsidR="007867D5" w:rsidRDefault="007867D5" w:rsidP="007867D5">
    <w:pPr>
      <w:rPr>
        <w:noProof/>
      </w:rPr>
    </w:pPr>
  </w:p>
  <w:p w14:paraId="6B6FF34B" w14:textId="34F8CC2C" w:rsidR="007867D5" w:rsidRDefault="007867D5" w:rsidP="007867D5">
    <w:pPr>
      <w:jc w:val="center"/>
    </w:pPr>
    <w:r>
      <w:rPr>
        <w:rStyle w:val="PageNumber"/>
      </w:rPr>
      <w:fldChar w:fldCharType="begin"/>
    </w:r>
    <w:r>
      <w:rPr>
        <w:rStyle w:val="PageNumber"/>
      </w:rPr>
      <w:instrText xml:space="preserve"> PAGE </w:instrText>
    </w:r>
    <w:r>
      <w:rPr>
        <w:rStyle w:val="PageNumber"/>
      </w:rPr>
      <w:fldChar w:fldCharType="separate"/>
    </w:r>
    <w:r w:rsidR="00290A22">
      <w:rPr>
        <w:rStyle w:val="PageNumber"/>
        <w:noProof/>
      </w:rPr>
      <w:t>12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BC454" w14:textId="77777777" w:rsidR="007867D5" w:rsidRDefault="007867D5" w:rsidP="007867D5">
      <w:r>
        <w:separator/>
      </w:r>
    </w:p>
  </w:footnote>
  <w:footnote w:type="continuationSeparator" w:id="0">
    <w:p w14:paraId="070E5AE7" w14:textId="77777777" w:rsidR="007867D5" w:rsidRDefault="007867D5" w:rsidP="007867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2C38EC"/>
    <w:lvl w:ilvl="0">
      <w:start w:val="1"/>
      <w:numFmt w:val="decimal"/>
      <w:lvlText w:val="%1."/>
      <w:lvlJc w:val="left"/>
      <w:pPr>
        <w:tabs>
          <w:tab w:val="num" w:pos="1800"/>
        </w:tabs>
        <w:ind w:left="1800" w:hanging="360"/>
      </w:pPr>
    </w:lvl>
  </w:abstractNum>
  <w:abstractNum w:abstractNumId="1">
    <w:nsid w:val="FFFFFF7D"/>
    <w:multiLevelType w:val="singleLevel"/>
    <w:tmpl w:val="41248AC2"/>
    <w:lvl w:ilvl="0">
      <w:start w:val="1"/>
      <w:numFmt w:val="decimal"/>
      <w:lvlText w:val="%1."/>
      <w:lvlJc w:val="left"/>
      <w:pPr>
        <w:tabs>
          <w:tab w:val="num" w:pos="1440"/>
        </w:tabs>
        <w:ind w:left="1440" w:hanging="360"/>
      </w:pPr>
    </w:lvl>
  </w:abstractNum>
  <w:abstractNum w:abstractNumId="2">
    <w:nsid w:val="FFFFFF7E"/>
    <w:multiLevelType w:val="singleLevel"/>
    <w:tmpl w:val="9C2CACA4"/>
    <w:lvl w:ilvl="0">
      <w:start w:val="1"/>
      <w:numFmt w:val="decimal"/>
      <w:lvlText w:val="%1."/>
      <w:lvlJc w:val="left"/>
      <w:pPr>
        <w:tabs>
          <w:tab w:val="num" w:pos="1080"/>
        </w:tabs>
        <w:ind w:left="1080" w:hanging="360"/>
      </w:pPr>
    </w:lvl>
  </w:abstractNum>
  <w:abstractNum w:abstractNumId="3">
    <w:nsid w:val="FFFFFF7F"/>
    <w:multiLevelType w:val="singleLevel"/>
    <w:tmpl w:val="E2D2406E"/>
    <w:lvl w:ilvl="0">
      <w:start w:val="1"/>
      <w:numFmt w:val="decimal"/>
      <w:lvlText w:val="%1."/>
      <w:lvlJc w:val="left"/>
      <w:pPr>
        <w:tabs>
          <w:tab w:val="num" w:pos="720"/>
        </w:tabs>
        <w:ind w:left="720" w:hanging="360"/>
      </w:pPr>
    </w:lvl>
  </w:abstractNum>
  <w:abstractNum w:abstractNumId="4">
    <w:nsid w:val="FFFFFF80"/>
    <w:multiLevelType w:val="singleLevel"/>
    <w:tmpl w:val="E43429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CA1EE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7AEC1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00D5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63E7834"/>
    <w:lvl w:ilvl="0">
      <w:start w:val="1"/>
      <w:numFmt w:val="decimal"/>
      <w:lvlText w:val="%1."/>
      <w:lvlJc w:val="left"/>
      <w:pPr>
        <w:tabs>
          <w:tab w:val="num" w:pos="360"/>
        </w:tabs>
        <w:ind w:left="360" w:hanging="360"/>
      </w:pPr>
    </w:lvl>
  </w:abstractNum>
  <w:abstractNum w:abstractNumId="9">
    <w:nsid w:val="FFFFFF89"/>
    <w:multiLevelType w:val="singleLevel"/>
    <w:tmpl w:val="20F01CA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C58048F0"/>
    <w:name w:val="MASTERSPEC"/>
    <w:lvl w:ilvl="0">
      <w:start w:val="1"/>
      <w:numFmt w:val="decimal"/>
      <w:pStyle w:val="P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ART"/>
      <w:lvlText w:val="%1.%4"/>
      <w:lvlJc w:val="left"/>
      <w:pPr>
        <w:tabs>
          <w:tab w:val="left" w:pos="864"/>
        </w:tabs>
        <w:ind w:left="864" w:hanging="864"/>
      </w:pPr>
    </w:lvl>
    <w:lvl w:ilvl="4">
      <w:start w:val="1"/>
      <w:numFmt w:val="upperLetter"/>
      <w:pStyle w:val="PR1"/>
      <w:lvlText w:val="%5."/>
      <w:lvlJc w:val="left"/>
      <w:pPr>
        <w:tabs>
          <w:tab w:val="left" w:pos="864"/>
        </w:tabs>
        <w:ind w:left="864" w:hanging="576"/>
      </w:pPr>
    </w:lvl>
    <w:lvl w:ilvl="5">
      <w:start w:val="1"/>
      <w:numFmt w:val="decimal"/>
      <w:pStyle w:val="PR2"/>
      <w:lvlText w:val="%6."/>
      <w:lvlJc w:val="left"/>
      <w:pPr>
        <w:tabs>
          <w:tab w:val="left" w:pos="1440"/>
        </w:tabs>
        <w:ind w:left="1440" w:hanging="576"/>
      </w:pPr>
    </w:lvl>
    <w:lvl w:ilvl="6">
      <w:start w:val="1"/>
      <w:numFmt w:val="lowerLetter"/>
      <w:pStyle w:val="PR3"/>
      <w:lvlText w:val="%7."/>
      <w:lvlJc w:val="left"/>
      <w:pPr>
        <w:tabs>
          <w:tab w:val="left" w:pos="2016"/>
        </w:tabs>
        <w:ind w:left="2016" w:hanging="576"/>
      </w:pPr>
    </w:lvl>
    <w:lvl w:ilvl="7">
      <w:start w:val="1"/>
      <w:numFmt w:val="decimal"/>
      <w:pStyle w:val="PR4"/>
      <w:lvlText w:val="%8)"/>
      <w:lvlJc w:val="left"/>
      <w:pPr>
        <w:tabs>
          <w:tab w:val="left" w:pos="2592"/>
        </w:tabs>
        <w:ind w:left="2592" w:hanging="576"/>
      </w:pPr>
    </w:lvl>
    <w:lvl w:ilvl="8">
      <w:start w:val="1"/>
      <w:numFmt w:val="lowerLetter"/>
      <w:pStyle w:val="PR5"/>
      <w:lvlText w:val="%9)"/>
      <w:lvlJc w:val="left"/>
      <w:pPr>
        <w:tabs>
          <w:tab w:val="left" w:pos="3168"/>
        </w:tabs>
        <w:ind w:left="3168" w:hanging="576"/>
      </w:pPr>
    </w:lvl>
  </w:abstractNum>
  <w:abstractNum w:abstractNumId="11">
    <w:nsid w:val="0613471D"/>
    <w:multiLevelType w:val="multilevel"/>
    <w:tmpl w:val="BAD2AFBE"/>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lvlText w:val="%6."/>
      <w:lvlJc w:val="left"/>
      <w:pPr>
        <w:tabs>
          <w:tab w:val="left" w:pos="1440"/>
        </w:tabs>
        <w:ind w:left="1440" w:hanging="576"/>
      </w:pPr>
    </w:lvl>
    <w:lvl w:ilvl="6">
      <w:start w:val="1"/>
      <w:numFmt w:val="lowerLetter"/>
      <w:lvlText w:val="%7."/>
      <w:lvlJc w:val="left"/>
      <w:pPr>
        <w:tabs>
          <w:tab w:val="left" w:pos="2016"/>
        </w:tabs>
        <w:ind w:left="2016" w:hanging="576"/>
      </w:pPr>
    </w:lvl>
    <w:lvl w:ilvl="7">
      <w:start w:val="1"/>
      <w:numFmt w:val="decimal"/>
      <w:lvlText w:val="%8)"/>
      <w:lvlJc w:val="left"/>
      <w:pPr>
        <w:tabs>
          <w:tab w:val="left" w:pos="2592"/>
        </w:tabs>
        <w:ind w:left="2592" w:hanging="576"/>
      </w:pPr>
    </w:lvl>
    <w:lvl w:ilvl="8">
      <w:start w:val="1"/>
      <w:numFmt w:val="lowerLetter"/>
      <w:lvlText w:val="%9)"/>
      <w:lvlJc w:val="left"/>
      <w:pPr>
        <w:tabs>
          <w:tab w:val="left" w:pos="3168"/>
        </w:tabs>
        <w:ind w:left="3168" w:hanging="576"/>
      </w:pPr>
    </w:lvl>
  </w:abstractNum>
  <w:abstractNum w:abstractNumId="12">
    <w:nsid w:val="42515061"/>
    <w:multiLevelType w:val="hybridMultilevel"/>
    <w:tmpl w:val="D6B4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E92078"/>
    <w:multiLevelType w:val="hybridMultilevel"/>
    <w:tmpl w:val="927C3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524617"/>
    <w:multiLevelType w:val="hybridMultilevel"/>
    <w:tmpl w:val="371A44E6"/>
    <w:lvl w:ilvl="0" w:tplc="95C6688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111C57"/>
    <w:multiLevelType w:val="hybridMultilevel"/>
    <w:tmpl w:val="C060CC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12"/>
  </w:num>
  <w:num w:numId="4">
    <w:abstractNumId w:val="15"/>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hod_000">
    <w15:presenceInfo w15:providerId="None" w15:userId="athod_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9B"/>
    <w:rsid w:val="00000B56"/>
    <w:rsid w:val="00001ABE"/>
    <w:rsid w:val="00003578"/>
    <w:rsid w:val="00003F94"/>
    <w:rsid w:val="00005ED8"/>
    <w:rsid w:val="00005FC7"/>
    <w:rsid w:val="0000646A"/>
    <w:rsid w:val="00007327"/>
    <w:rsid w:val="00010AE5"/>
    <w:rsid w:val="00010CA6"/>
    <w:rsid w:val="000134A9"/>
    <w:rsid w:val="0001395E"/>
    <w:rsid w:val="0001696B"/>
    <w:rsid w:val="00020B2E"/>
    <w:rsid w:val="00023032"/>
    <w:rsid w:val="0002570C"/>
    <w:rsid w:val="00032E8B"/>
    <w:rsid w:val="0003509F"/>
    <w:rsid w:val="00037829"/>
    <w:rsid w:val="00042614"/>
    <w:rsid w:val="0004363B"/>
    <w:rsid w:val="000439D5"/>
    <w:rsid w:val="00043FA8"/>
    <w:rsid w:val="00044ADA"/>
    <w:rsid w:val="00044DCC"/>
    <w:rsid w:val="00050A81"/>
    <w:rsid w:val="000517E1"/>
    <w:rsid w:val="00052D56"/>
    <w:rsid w:val="00056112"/>
    <w:rsid w:val="000562E4"/>
    <w:rsid w:val="0006189E"/>
    <w:rsid w:val="000731B0"/>
    <w:rsid w:val="00076C1B"/>
    <w:rsid w:val="00082A8F"/>
    <w:rsid w:val="00083AB7"/>
    <w:rsid w:val="00083AE5"/>
    <w:rsid w:val="00084C9E"/>
    <w:rsid w:val="00085533"/>
    <w:rsid w:val="000858BE"/>
    <w:rsid w:val="0009012E"/>
    <w:rsid w:val="00093054"/>
    <w:rsid w:val="00095827"/>
    <w:rsid w:val="00095901"/>
    <w:rsid w:val="00096800"/>
    <w:rsid w:val="00097810"/>
    <w:rsid w:val="00097F02"/>
    <w:rsid w:val="000A001F"/>
    <w:rsid w:val="000A03D7"/>
    <w:rsid w:val="000A084D"/>
    <w:rsid w:val="000A2FBB"/>
    <w:rsid w:val="000A64C8"/>
    <w:rsid w:val="000B0661"/>
    <w:rsid w:val="000B1790"/>
    <w:rsid w:val="000B3BD5"/>
    <w:rsid w:val="000B5833"/>
    <w:rsid w:val="000B79A5"/>
    <w:rsid w:val="000C4DE9"/>
    <w:rsid w:val="000C4E90"/>
    <w:rsid w:val="000D1B84"/>
    <w:rsid w:val="000D596E"/>
    <w:rsid w:val="000D70E0"/>
    <w:rsid w:val="000D7DD4"/>
    <w:rsid w:val="000E0E8B"/>
    <w:rsid w:val="000E1DCB"/>
    <w:rsid w:val="000E4EDB"/>
    <w:rsid w:val="000E5029"/>
    <w:rsid w:val="000F4F58"/>
    <w:rsid w:val="00100C6F"/>
    <w:rsid w:val="001017A3"/>
    <w:rsid w:val="001069D1"/>
    <w:rsid w:val="00107820"/>
    <w:rsid w:val="0011139E"/>
    <w:rsid w:val="00112CD3"/>
    <w:rsid w:val="00114B46"/>
    <w:rsid w:val="00115172"/>
    <w:rsid w:val="00115CD5"/>
    <w:rsid w:val="00122570"/>
    <w:rsid w:val="00130602"/>
    <w:rsid w:val="001331EC"/>
    <w:rsid w:val="00140D20"/>
    <w:rsid w:val="001470D7"/>
    <w:rsid w:val="00150CE3"/>
    <w:rsid w:val="00150EDC"/>
    <w:rsid w:val="0015126D"/>
    <w:rsid w:val="00152277"/>
    <w:rsid w:val="001563B5"/>
    <w:rsid w:val="00160550"/>
    <w:rsid w:val="00162DB3"/>
    <w:rsid w:val="001646E1"/>
    <w:rsid w:val="00167302"/>
    <w:rsid w:val="00170AB6"/>
    <w:rsid w:val="00171AE8"/>
    <w:rsid w:val="00172A06"/>
    <w:rsid w:val="00174565"/>
    <w:rsid w:val="0017493E"/>
    <w:rsid w:val="00177008"/>
    <w:rsid w:val="001775DE"/>
    <w:rsid w:val="00181B24"/>
    <w:rsid w:val="00185A41"/>
    <w:rsid w:val="00186C25"/>
    <w:rsid w:val="0019454E"/>
    <w:rsid w:val="00195B5F"/>
    <w:rsid w:val="001A1E08"/>
    <w:rsid w:val="001A2BCB"/>
    <w:rsid w:val="001A4A66"/>
    <w:rsid w:val="001A5030"/>
    <w:rsid w:val="001B0DDD"/>
    <w:rsid w:val="001B234D"/>
    <w:rsid w:val="001C30A3"/>
    <w:rsid w:val="001C5795"/>
    <w:rsid w:val="001C6A63"/>
    <w:rsid w:val="001C7E38"/>
    <w:rsid w:val="001D1B44"/>
    <w:rsid w:val="001D6D33"/>
    <w:rsid w:val="001E05FB"/>
    <w:rsid w:val="001E264E"/>
    <w:rsid w:val="001E2877"/>
    <w:rsid w:val="001E327C"/>
    <w:rsid w:val="001E3EE0"/>
    <w:rsid w:val="001E421E"/>
    <w:rsid w:val="001E4D52"/>
    <w:rsid w:val="001E4DA3"/>
    <w:rsid w:val="001F1A81"/>
    <w:rsid w:val="001F3BA7"/>
    <w:rsid w:val="001F51E5"/>
    <w:rsid w:val="00201190"/>
    <w:rsid w:val="00201691"/>
    <w:rsid w:val="00201AA3"/>
    <w:rsid w:val="00201CC6"/>
    <w:rsid w:val="00206782"/>
    <w:rsid w:val="00210AEE"/>
    <w:rsid w:val="00211D5C"/>
    <w:rsid w:val="002151C9"/>
    <w:rsid w:val="0021555B"/>
    <w:rsid w:val="002162C5"/>
    <w:rsid w:val="002229D2"/>
    <w:rsid w:val="0022422C"/>
    <w:rsid w:val="002263A4"/>
    <w:rsid w:val="00226712"/>
    <w:rsid w:val="002272EA"/>
    <w:rsid w:val="00230344"/>
    <w:rsid w:val="0023191B"/>
    <w:rsid w:val="00232F9F"/>
    <w:rsid w:val="00235AFE"/>
    <w:rsid w:val="00235E9E"/>
    <w:rsid w:val="00236CE0"/>
    <w:rsid w:val="002379F8"/>
    <w:rsid w:val="0024110C"/>
    <w:rsid w:val="00244696"/>
    <w:rsid w:val="00246F8D"/>
    <w:rsid w:val="00247ADF"/>
    <w:rsid w:val="00254756"/>
    <w:rsid w:val="00260361"/>
    <w:rsid w:val="0026087F"/>
    <w:rsid w:val="00272E4D"/>
    <w:rsid w:val="00275EBB"/>
    <w:rsid w:val="002762BE"/>
    <w:rsid w:val="002763C2"/>
    <w:rsid w:val="00276D08"/>
    <w:rsid w:val="0028263A"/>
    <w:rsid w:val="002868D2"/>
    <w:rsid w:val="00290A22"/>
    <w:rsid w:val="00292898"/>
    <w:rsid w:val="0029594C"/>
    <w:rsid w:val="00295BF9"/>
    <w:rsid w:val="002A70EF"/>
    <w:rsid w:val="002A7ADE"/>
    <w:rsid w:val="002A7E20"/>
    <w:rsid w:val="002B1A51"/>
    <w:rsid w:val="002B2891"/>
    <w:rsid w:val="002B63A5"/>
    <w:rsid w:val="002C0F7E"/>
    <w:rsid w:val="002C28FA"/>
    <w:rsid w:val="002C3FB9"/>
    <w:rsid w:val="002D05D8"/>
    <w:rsid w:val="002D2E01"/>
    <w:rsid w:val="002D5C5E"/>
    <w:rsid w:val="002D5DAB"/>
    <w:rsid w:val="002E064A"/>
    <w:rsid w:val="002E188B"/>
    <w:rsid w:val="002F14AC"/>
    <w:rsid w:val="002F58F6"/>
    <w:rsid w:val="00302202"/>
    <w:rsid w:val="00304EAD"/>
    <w:rsid w:val="00305197"/>
    <w:rsid w:val="00307143"/>
    <w:rsid w:val="00310A73"/>
    <w:rsid w:val="00316C60"/>
    <w:rsid w:val="00317024"/>
    <w:rsid w:val="00317606"/>
    <w:rsid w:val="00321DF3"/>
    <w:rsid w:val="003236C5"/>
    <w:rsid w:val="00323825"/>
    <w:rsid w:val="00323E0A"/>
    <w:rsid w:val="00337AA2"/>
    <w:rsid w:val="003402CC"/>
    <w:rsid w:val="00342AE7"/>
    <w:rsid w:val="003448CE"/>
    <w:rsid w:val="00347C8E"/>
    <w:rsid w:val="00347E4E"/>
    <w:rsid w:val="00354E86"/>
    <w:rsid w:val="003621B2"/>
    <w:rsid w:val="00363500"/>
    <w:rsid w:val="00366012"/>
    <w:rsid w:val="00367895"/>
    <w:rsid w:val="003679E5"/>
    <w:rsid w:val="00371771"/>
    <w:rsid w:val="00381B87"/>
    <w:rsid w:val="00384B75"/>
    <w:rsid w:val="00390D1E"/>
    <w:rsid w:val="00392B9D"/>
    <w:rsid w:val="00397849"/>
    <w:rsid w:val="003A0FCF"/>
    <w:rsid w:val="003A1672"/>
    <w:rsid w:val="003A19A2"/>
    <w:rsid w:val="003A1A5F"/>
    <w:rsid w:val="003A2C52"/>
    <w:rsid w:val="003A7ABD"/>
    <w:rsid w:val="003B30E8"/>
    <w:rsid w:val="003B3B04"/>
    <w:rsid w:val="003C4066"/>
    <w:rsid w:val="003C63D5"/>
    <w:rsid w:val="003C78A1"/>
    <w:rsid w:val="003D5EC6"/>
    <w:rsid w:val="003E257D"/>
    <w:rsid w:val="003E415D"/>
    <w:rsid w:val="003E5148"/>
    <w:rsid w:val="003E604F"/>
    <w:rsid w:val="003F6AC0"/>
    <w:rsid w:val="00406433"/>
    <w:rsid w:val="00407026"/>
    <w:rsid w:val="00416067"/>
    <w:rsid w:val="00420DD3"/>
    <w:rsid w:val="00422F5F"/>
    <w:rsid w:val="00430A43"/>
    <w:rsid w:val="004328D7"/>
    <w:rsid w:val="004339D3"/>
    <w:rsid w:val="00434530"/>
    <w:rsid w:val="00435AB9"/>
    <w:rsid w:val="0043636C"/>
    <w:rsid w:val="00443174"/>
    <w:rsid w:val="004468F1"/>
    <w:rsid w:val="00447677"/>
    <w:rsid w:val="00447C7A"/>
    <w:rsid w:val="00447F0F"/>
    <w:rsid w:val="00454450"/>
    <w:rsid w:val="00454D8B"/>
    <w:rsid w:val="004574BF"/>
    <w:rsid w:val="00457BB9"/>
    <w:rsid w:val="0046278D"/>
    <w:rsid w:val="004627D2"/>
    <w:rsid w:val="004632C5"/>
    <w:rsid w:val="004635C9"/>
    <w:rsid w:val="00470162"/>
    <w:rsid w:val="00474255"/>
    <w:rsid w:val="00475E4F"/>
    <w:rsid w:val="004769E7"/>
    <w:rsid w:val="004875B7"/>
    <w:rsid w:val="00491136"/>
    <w:rsid w:val="004921CC"/>
    <w:rsid w:val="00492D0B"/>
    <w:rsid w:val="004A64A9"/>
    <w:rsid w:val="004A79D1"/>
    <w:rsid w:val="004B0DD0"/>
    <w:rsid w:val="004B1915"/>
    <w:rsid w:val="004B2322"/>
    <w:rsid w:val="004B62B4"/>
    <w:rsid w:val="004C528A"/>
    <w:rsid w:val="004D2068"/>
    <w:rsid w:val="004D3838"/>
    <w:rsid w:val="004E07E0"/>
    <w:rsid w:val="004E3A0C"/>
    <w:rsid w:val="004E5B83"/>
    <w:rsid w:val="004E64FE"/>
    <w:rsid w:val="004E6654"/>
    <w:rsid w:val="004E6DA4"/>
    <w:rsid w:val="004F05C3"/>
    <w:rsid w:val="004F31A1"/>
    <w:rsid w:val="004F35FA"/>
    <w:rsid w:val="004F6893"/>
    <w:rsid w:val="004F7F63"/>
    <w:rsid w:val="00501EB4"/>
    <w:rsid w:val="00501F0A"/>
    <w:rsid w:val="00502950"/>
    <w:rsid w:val="00505393"/>
    <w:rsid w:val="0051001A"/>
    <w:rsid w:val="00512C8D"/>
    <w:rsid w:val="0052425F"/>
    <w:rsid w:val="0053081F"/>
    <w:rsid w:val="00530EEE"/>
    <w:rsid w:val="005323B2"/>
    <w:rsid w:val="005352F0"/>
    <w:rsid w:val="00537301"/>
    <w:rsid w:val="00537BDB"/>
    <w:rsid w:val="00540619"/>
    <w:rsid w:val="005415FD"/>
    <w:rsid w:val="00546377"/>
    <w:rsid w:val="00552788"/>
    <w:rsid w:val="00555788"/>
    <w:rsid w:val="0056310D"/>
    <w:rsid w:val="00565F1B"/>
    <w:rsid w:val="0056711D"/>
    <w:rsid w:val="00570A9E"/>
    <w:rsid w:val="00570FA7"/>
    <w:rsid w:val="005711AD"/>
    <w:rsid w:val="00573FCF"/>
    <w:rsid w:val="00574101"/>
    <w:rsid w:val="00576E36"/>
    <w:rsid w:val="00577A2C"/>
    <w:rsid w:val="00581891"/>
    <w:rsid w:val="00582806"/>
    <w:rsid w:val="00583EEB"/>
    <w:rsid w:val="00586ABE"/>
    <w:rsid w:val="00586EB8"/>
    <w:rsid w:val="0059184A"/>
    <w:rsid w:val="00593028"/>
    <w:rsid w:val="0059734F"/>
    <w:rsid w:val="005A4C6F"/>
    <w:rsid w:val="005A61BA"/>
    <w:rsid w:val="005B4C83"/>
    <w:rsid w:val="005B5081"/>
    <w:rsid w:val="005C2CBB"/>
    <w:rsid w:val="005C4AB6"/>
    <w:rsid w:val="005C773B"/>
    <w:rsid w:val="005D16CC"/>
    <w:rsid w:val="005D32D4"/>
    <w:rsid w:val="005D4853"/>
    <w:rsid w:val="005D4B62"/>
    <w:rsid w:val="005D55E4"/>
    <w:rsid w:val="005D5EBD"/>
    <w:rsid w:val="005D7902"/>
    <w:rsid w:val="005E006A"/>
    <w:rsid w:val="005E3511"/>
    <w:rsid w:val="005E73A7"/>
    <w:rsid w:val="005E79A7"/>
    <w:rsid w:val="005F6F96"/>
    <w:rsid w:val="005F762A"/>
    <w:rsid w:val="00604A95"/>
    <w:rsid w:val="00605868"/>
    <w:rsid w:val="00606736"/>
    <w:rsid w:val="006119AD"/>
    <w:rsid w:val="00612F75"/>
    <w:rsid w:val="00613FF0"/>
    <w:rsid w:val="006217A6"/>
    <w:rsid w:val="00623085"/>
    <w:rsid w:val="00623256"/>
    <w:rsid w:val="006340A2"/>
    <w:rsid w:val="0063440E"/>
    <w:rsid w:val="00635F09"/>
    <w:rsid w:val="0063613C"/>
    <w:rsid w:val="0064278C"/>
    <w:rsid w:val="00644345"/>
    <w:rsid w:val="006446A4"/>
    <w:rsid w:val="00644AC6"/>
    <w:rsid w:val="0064759F"/>
    <w:rsid w:val="00650F36"/>
    <w:rsid w:val="00653F8D"/>
    <w:rsid w:val="0065536F"/>
    <w:rsid w:val="0065669C"/>
    <w:rsid w:val="00661FB7"/>
    <w:rsid w:val="00663BDD"/>
    <w:rsid w:val="006704CB"/>
    <w:rsid w:val="006862FC"/>
    <w:rsid w:val="006928A5"/>
    <w:rsid w:val="00693E53"/>
    <w:rsid w:val="006A4082"/>
    <w:rsid w:val="006A4A5A"/>
    <w:rsid w:val="006B0ECB"/>
    <w:rsid w:val="006B4142"/>
    <w:rsid w:val="006C000C"/>
    <w:rsid w:val="006C4524"/>
    <w:rsid w:val="006C4FF7"/>
    <w:rsid w:val="006C7102"/>
    <w:rsid w:val="006C7F2C"/>
    <w:rsid w:val="006D3795"/>
    <w:rsid w:val="006D458F"/>
    <w:rsid w:val="006E40FB"/>
    <w:rsid w:val="006E766E"/>
    <w:rsid w:val="006E7B74"/>
    <w:rsid w:val="006E7C43"/>
    <w:rsid w:val="006F315A"/>
    <w:rsid w:val="006F3985"/>
    <w:rsid w:val="006F7849"/>
    <w:rsid w:val="006F793F"/>
    <w:rsid w:val="00705CF1"/>
    <w:rsid w:val="007065CA"/>
    <w:rsid w:val="00710131"/>
    <w:rsid w:val="0071308B"/>
    <w:rsid w:val="007142F4"/>
    <w:rsid w:val="007148CB"/>
    <w:rsid w:val="0071652B"/>
    <w:rsid w:val="00716E3C"/>
    <w:rsid w:val="00722956"/>
    <w:rsid w:val="00730A89"/>
    <w:rsid w:val="00732DFF"/>
    <w:rsid w:val="0073351A"/>
    <w:rsid w:val="00741100"/>
    <w:rsid w:val="007413A3"/>
    <w:rsid w:val="00743B37"/>
    <w:rsid w:val="00743DD5"/>
    <w:rsid w:val="007442B2"/>
    <w:rsid w:val="00744505"/>
    <w:rsid w:val="007468E6"/>
    <w:rsid w:val="00753A0F"/>
    <w:rsid w:val="00761F92"/>
    <w:rsid w:val="00763029"/>
    <w:rsid w:val="007639F4"/>
    <w:rsid w:val="00763B0F"/>
    <w:rsid w:val="007659F2"/>
    <w:rsid w:val="00770DC6"/>
    <w:rsid w:val="0077140D"/>
    <w:rsid w:val="007729C5"/>
    <w:rsid w:val="00776020"/>
    <w:rsid w:val="007812B2"/>
    <w:rsid w:val="007867D5"/>
    <w:rsid w:val="00794D22"/>
    <w:rsid w:val="00795DCB"/>
    <w:rsid w:val="00796299"/>
    <w:rsid w:val="00797160"/>
    <w:rsid w:val="00797941"/>
    <w:rsid w:val="007A6527"/>
    <w:rsid w:val="007A73B1"/>
    <w:rsid w:val="007B1CD0"/>
    <w:rsid w:val="007B737F"/>
    <w:rsid w:val="007C473D"/>
    <w:rsid w:val="007C6597"/>
    <w:rsid w:val="007C6D1A"/>
    <w:rsid w:val="007C6FB3"/>
    <w:rsid w:val="007D1808"/>
    <w:rsid w:val="007D2BBB"/>
    <w:rsid w:val="007E04EE"/>
    <w:rsid w:val="007E76E3"/>
    <w:rsid w:val="007E79DB"/>
    <w:rsid w:val="007E7E3C"/>
    <w:rsid w:val="007F05F1"/>
    <w:rsid w:val="007F3BCB"/>
    <w:rsid w:val="007F486A"/>
    <w:rsid w:val="00801B91"/>
    <w:rsid w:val="00802530"/>
    <w:rsid w:val="00804E24"/>
    <w:rsid w:val="00806615"/>
    <w:rsid w:val="00807EE9"/>
    <w:rsid w:val="00814E5C"/>
    <w:rsid w:val="00823491"/>
    <w:rsid w:val="00824D0B"/>
    <w:rsid w:val="008254BF"/>
    <w:rsid w:val="00825F02"/>
    <w:rsid w:val="00830B6A"/>
    <w:rsid w:val="00830F13"/>
    <w:rsid w:val="00833A10"/>
    <w:rsid w:val="008353C6"/>
    <w:rsid w:val="0083572A"/>
    <w:rsid w:val="00841E9C"/>
    <w:rsid w:val="0084485E"/>
    <w:rsid w:val="0084769C"/>
    <w:rsid w:val="00862208"/>
    <w:rsid w:val="00862D07"/>
    <w:rsid w:val="00863613"/>
    <w:rsid w:val="00865FB8"/>
    <w:rsid w:val="0086751D"/>
    <w:rsid w:val="00870B0A"/>
    <w:rsid w:val="00873967"/>
    <w:rsid w:val="00873A71"/>
    <w:rsid w:val="00874C16"/>
    <w:rsid w:val="00877DF8"/>
    <w:rsid w:val="008806F5"/>
    <w:rsid w:val="00886C49"/>
    <w:rsid w:val="00887F92"/>
    <w:rsid w:val="00893C27"/>
    <w:rsid w:val="008A1A1B"/>
    <w:rsid w:val="008A3C7A"/>
    <w:rsid w:val="008C4C19"/>
    <w:rsid w:val="008D4345"/>
    <w:rsid w:val="008D50AE"/>
    <w:rsid w:val="008D579E"/>
    <w:rsid w:val="008E188B"/>
    <w:rsid w:val="008E2F00"/>
    <w:rsid w:val="008F44D2"/>
    <w:rsid w:val="00902375"/>
    <w:rsid w:val="00903E2D"/>
    <w:rsid w:val="00907AFB"/>
    <w:rsid w:val="00910C6E"/>
    <w:rsid w:val="009128E4"/>
    <w:rsid w:val="00913370"/>
    <w:rsid w:val="00913EC6"/>
    <w:rsid w:val="00914357"/>
    <w:rsid w:val="00916720"/>
    <w:rsid w:val="00916838"/>
    <w:rsid w:val="009216DB"/>
    <w:rsid w:val="00922F6A"/>
    <w:rsid w:val="00924423"/>
    <w:rsid w:val="00924DAF"/>
    <w:rsid w:val="00925027"/>
    <w:rsid w:val="00925C39"/>
    <w:rsid w:val="009350D1"/>
    <w:rsid w:val="00945823"/>
    <w:rsid w:val="00951E3B"/>
    <w:rsid w:val="0095305E"/>
    <w:rsid w:val="00953C85"/>
    <w:rsid w:val="009566E7"/>
    <w:rsid w:val="009569BB"/>
    <w:rsid w:val="0096022A"/>
    <w:rsid w:val="00960253"/>
    <w:rsid w:val="00965EC4"/>
    <w:rsid w:val="009665FF"/>
    <w:rsid w:val="00967B79"/>
    <w:rsid w:val="00967DE5"/>
    <w:rsid w:val="00973BEE"/>
    <w:rsid w:val="00973EC8"/>
    <w:rsid w:val="009746D6"/>
    <w:rsid w:val="00974A6A"/>
    <w:rsid w:val="00977CB0"/>
    <w:rsid w:val="00980A1F"/>
    <w:rsid w:val="0098343D"/>
    <w:rsid w:val="00984320"/>
    <w:rsid w:val="00994AF3"/>
    <w:rsid w:val="00995A4B"/>
    <w:rsid w:val="00996D1A"/>
    <w:rsid w:val="009A37DB"/>
    <w:rsid w:val="009A6292"/>
    <w:rsid w:val="009B325F"/>
    <w:rsid w:val="009B4582"/>
    <w:rsid w:val="009B660A"/>
    <w:rsid w:val="009C68A5"/>
    <w:rsid w:val="009C6C64"/>
    <w:rsid w:val="009C761B"/>
    <w:rsid w:val="009D01EF"/>
    <w:rsid w:val="009E08C7"/>
    <w:rsid w:val="009E2D5D"/>
    <w:rsid w:val="009E4218"/>
    <w:rsid w:val="009E5C83"/>
    <w:rsid w:val="009F2201"/>
    <w:rsid w:val="009F2FBB"/>
    <w:rsid w:val="009F400B"/>
    <w:rsid w:val="009F7FD1"/>
    <w:rsid w:val="00A03573"/>
    <w:rsid w:val="00A07771"/>
    <w:rsid w:val="00A123B2"/>
    <w:rsid w:val="00A12A51"/>
    <w:rsid w:val="00A1531B"/>
    <w:rsid w:val="00A17CAD"/>
    <w:rsid w:val="00A205E7"/>
    <w:rsid w:val="00A22BF7"/>
    <w:rsid w:val="00A22DAA"/>
    <w:rsid w:val="00A25246"/>
    <w:rsid w:val="00A31C73"/>
    <w:rsid w:val="00A32242"/>
    <w:rsid w:val="00A3265B"/>
    <w:rsid w:val="00A32D68"/>
    <w:rsid w:val="00A425F6"/>
    <w:rsid w:val="00A42E2B"/>
    <w:rsid w:val="00A43ADF"/>
    <w:rsid w:val="00A47EA7"/>
    <w:rsid w:val="00A50EED"/>
    <w:rsid w:val="00A53467"/>
    <w:rsid w:val="00A53CA1"/>
    <w:rsid w:val="00A53E28"/>
    <w:rsid w:val="00A554F2"/>
    <w:rsid w:val="00A562E9"/>
    <w:rsid w:val="00A6185D"/>
    <w:rsid w:val="00A61BA3"/>
    <w:rsid w:val="00A64B44"/>
    <w:rsid w:val="00A71746"/>
    <w:rsid w:val="00A74935"/>
    <w:rsid w:val="00A76A5B"/>
    <w:rsid w:val="00A8239F"/>
    <w:rsid w:val="00A85723"/>
    <w:rsid w:val="00A864A3"/>
    <w:rsid w:val="00A9024C"/>
    <w:rsid w:val="00A934DB"/>
    <w:rsid w:val="00A93B52"/>
    <w:rsid w:val="00A94600"/>
    <w:rsid w:val="00AA04A2"/>
    <w:rsid w:val="00AA09E3"/>
    <w:rsid w:val="00AA277C"/>
    <w:rsid w:val="00AA2BBA"/>
    <w:rsid w:val="00AA491B"/>
    <w:rsid w:val="00AB27E6"/>
    <w:rsid w:val="00AB38BF"/>
    <w:rsid w:val="00AB4080"/>
    <w:rsid w:val="00AB4ACC"/>
    <w:rsid w:val="00AB6937"/>
    <w:rsid w:val="00AB6C08"/>
    <w:rsid w:val="00AB7FFD"/>
    <w:rsid w:val="00AC3236"/>
    <w:rsid w:val="00AC59DD"/>
    <w:rsid w:val="00AC68FC"/>
    <w:rsid w:val="00AD155C"/>
    <w:rsid w:val="00AE0448"/>
    <w:rsid w:val="00AE0A3A"/>
    <w:rsid w:val="00AE4A8D"/>
    <w:rsid w:val="00AF0B11"/>
    <w:rsid w:val="00AF1B88"/>
    <w:rsid w:val="00AF21F3"/>
    <w:rsid w:val="00AF7A5B"/>
    <w:rsid w:val="00B005A7"/>
    <w:rsid w:val="00B010E1"/>
    <w:rsid w:val="00B03C20"/>
    <w:rsid w:val="00B0601D"/>
    <w:rsid w:val="00B1219E"/>
    <w:rsid w:val="00B125B0"/>
    <w:rsid w:val="00B12E51"/>
    <w:rsid w:val="00B13F86"/>
    <w:rsid w:val="00B161EE"/>
    <w:rsid w:val="00B17FF5"/>
    <w:rsid w:val="00B228FC"/>
    <w:rsid w:val="00B22D5B"/>
    <w:rsid w:val="00B266C3"/>
    <w:rsid w:val="00B30AFF"/>
    <w:rsid w:val="00B3119B"/>
    <w:rsid w:val="00B3310E"/>
    <w:rsid w:val="00B333EA"/>
    <w:rsid w:val="00B33BC3"/>
    <w:rsid w:val="00B33D8D"/>
    <w:rsid w:val="00B37284"/>
    <w:rsid w:val="00B37938"/>
    <w:rsid w:val="00B41A83"/>
    <w:rsid w:val="00B424C0"/>
    <w:rsid w:val="00B47F37"/>
    <w:rsid w:val="00B527CA"/>
    <w:rsid w:val="00B7211D"/>
    <w:rsid w:val="00B722CC"/>
    <w:rsid w:val="00B741EB"/>
    <w:rsid w:val="00B74E25"/>
    <w:rsid w:val="00B74E5F"/>
    <w:rsid w:val="00B75587"/>
    <w:rsid w:val="00B75ACA"/>
    <w:rsid w:val="00B77CD4"/>
    <w:rsid w:val="00B805B1"/>
    <w:rsid w:val="00B80D96"/>
    <w:rsid w:val="00B8594B"/>
    <w:rsid w:val="00B91D7B"/>
    <w:rsid w:val="00B92C3C"/>
    <w:rsid w:val="00BA1EA2"/>
    <w:rsid w:val="00BB2046"/>
    <w:rsid w:val="00BB2638"/>
    <w:rsid w:val="00BC4F74"/>
    <w:rsid w:val="00BE035B"/>
    <w:rsid w:val="00BE5434"/>
    <w:rsid w:val="00BF5A61"/>
    <w:rsid w:val="00BF6B9C"/>
    <w:rsid w:val="00BF6D6B"/>
    <w:rsid w:val="00BF7241"/>
    <w:rsid w:val="00BF7457"/>
    <w:rsid w:val="00C03113"/>
    <w:rsid w:val="00C1391D"/>
    <w:rsid w:val="00C15A01"/>
    <w:rsid w:val="00C17975"/>
    <w:rsid w:val="00C23B4E"/>
    <w:rsid w:val="00C3234E"/>
    <w:rsid w:val="00C41760"/>
    <w:rsid w:val="00C42AEE"/>
    <w:rsid w:val="00C44E73"/>
    <w:rsid w:val="00C50591"/>
    <w:rsid w:val="00C539C1"/>
    <w:rsid w:val="00C61116"/>
    <w:rsid w:val="00C6286A"/>
    <w:rsid w:val="00C62D99"/>
    <w:rsid w:val="00C65CE1"/>
    <w:rsid w:val="00C679B6"/>
    <w:rsid w:val="00C70A63"/>
    <w:rsid w:val="00C71131"/>
    <w:rsid w:val="00C71E47"/>
    <w:rsid w:val="00C7213B"/>
    <w:rsid w:val="00C73204"/>
    <w:rsid w:val="00C7563A"/>
    <w:rsid w:val="00C773DC"/>
    <w:rsid w:val="00C80FAF"/>
    <w:rsid w:val="00C819F8"/>
    <w:rsid w:val="00C81E84"/>
    <w:rsid w:val="00C83CCA"/>
    <w:rsid w:val="00C85905"/>
    <w:rsid w:val="00CA06B9"/>
    <w:rsid w:val="00CA307A"/>
    <w:rsid w:val="00CA4313"/>
    <w:rsid w:val="00CA56EE"/>
    <w:rsid w:val="00CB0DA1"/>
    <w:rsid w:val="00CB22E7"/>
    <w:rsid w:val="00CB3D01"/>
    <w:rsid w:val="00CB581D"/>
    <w:rsid w:val="00CC1EEE"/>
    <w:rsid w:val="00CC2BF1"/>
    <w:rsid w:val="00CC3942"/>
    <w:rsid w:val="00CC613B"/>
    <w:rsid w:val="00CC6C95"/>
    <w:rsid w:val="00CD01E3"/>
    <w:rsid w:val="00CD3797"/>
    <w:rsid w:val="00CD6E9B"/>
    <w:rsid w:val="00CD709D"/>
    <w:rsid w:val="00D01854"/>
    <w:rsid w:val="00D02A54"/>
    <w:rsid w:val="00D03904"/>
    <w:rsid w:val="00D06F6D"/>
    <w:rsid w:val="00D07F21"/>
    <w:rsid w:val="00D1076A"/>
    <w:rsid w:val="00D108A4"/>
    <w:rsid w:val="00D138E0"/>
    <w:rsid w:val="00D15B1B"/>
    <w:rsid w:val="00D15EBB"/>
    <w:rsid w:val="00D163F3"/>
    <w:rsid w:val="00D22C96"/>
    <w:rsid w:val="00D23E98"/>
    <w:rsid w:val="00D2639B"/>
    <w:rsid w:val="00D317DA"/>
    <w:rsid w:val="00D3188E"/>
    <w:rsid w:val="00D37C33"/>
    <w:rsid w:val="00D434A7"/>
    <w:rsid w:val="00D44505"/>
    <w:rsid w:val="00D44682"/>
    <w:rsid w:val="00D517A4"/>
    <w:rsid w:val="00D52DB2"/>
    <w:rsid w:val="00D53260"/>
    <w:rsid w:val="00D611E2"/>
    <w:rsid w:val="00D614E8"/>
    <w:rsid w:val="00D625CD"/>
    <w:rsid w:val="00D647BC"/>
    <w:rsid w:val="00D71407"/>
    <w:rsid w:val="00D723AF"/>
    <w:rsid w:val="00D75C4E"/>
    <w:rsid w:val="00D77114"/>
    <w:rsid w:val="00D77BC8"/>
    <w:rsid w:val="00D80A66"/>
    <w:rsid w:val="00D82B3D"/>
    <w:rsid w:val="00D82E42"/>
    <w:rsid w:val="00D844FD"/>
    <w:rsid w:val="00D8542F"/>
    <w:rsid w:val="00D8633F"/>
    <w:rsid w:val="00D87AA4"/>
    <w:rsid w:val="00D915FE"/>
    <w:rsid w:val="00D966B4"/>
    <w:rsid w:val="00D96D49"/>
    <w:rsid w:val="00DA168A"/>
    <w:rsid w:val="00DA4DF1"/>
    <w:rsid w:val="00DA5C41"/>
    <w:rsid w:val="00DA7D2F"/>
    <w:rsid w:val="00DB0EE6"/>
    <w:rsid w:val="00DB2299"/>
    <w:rsid w:val="00DB2A5B"/>
    <w:rsid w:val="00DB473D"/>
    <w:rsid w:val="00DB516D"/>
    <w:rsid w:val="00DB6D15"/>
    <w:rsid w:val="00DB7043"/>
    <w:rsid w:val="00DB7D1D"/>
    <w:rsid w:val="00DC2F47"/>
    <w:rsid w:val="00DC7811"/>
    <w:rsid w:val="00DD2BBF"/>
    <w:rsid w:val="00DD6F75"/>
    <w:rsid w:val="00DD7CFF"/>
    <w:rsid w:val="00DE0F03"/>
    <w:rsid w:val="00DE5F05"/>
    <w:rsid w:val="00DF0262"/>
    <w:rsid w:val="00DF3A5E"/>
    <w:rsid w:val="00DF3E93"/>
    <w:rsid w:val="00E03E5E"/>
    <w:rsid w:val="00E05A76"/>
    <w:rsid w:val="00E06CE5"/>
    <w:rsid w:val="00E07760"/>
    <w:rsid w:val="00E122DC"/>
    <w:rsid w:val="00E20651"/>
    <w:rsid w:val="00E2348E"/>
    <w:rsid w:val="00E246B7"/>
    <w:rsid w:val="00E304D0"/>
    <w:rsid w:val="00E314F0"/>
    <w:rsid w:val="00E34817"/>
    <w:rsid w:val="00E3495B"/>
    <w:rsid w:val="00E36CB8"/>
    <w:rsid w:val="00E40AFB"/>
    <w:rsid w:val="00E40DEA"/>
    <w:rsid w:val="00E42381"/>
    <w:rsid w:val="00E42D23"/>
    <w:rsid w:val="00E44114"/>
    <w:rsid w:val="00E450FB"/>
    <w:rsid w:val="00E50825"/>
    <w:rsid w:val="00E50F05"/>
    <w:rsid w:val="00E50FBB"/>
    <w:rsid w:val="00E61BDC"/>
    <w:rsid w:val="00E62253"/>
    <w:rsid w:val="00E64CD3"/>
    <w:rsid w:val="00E72407"/>
    <w:rsid w:val="00E74D7F"/>
    <w:rsid w:val="00E74DA2"/>
    <w:rsid w:val="00E75268"/>
    <w:rsid w:val="00E8013A"/>
    <w:rsid w:val="00E836AF"/>
    <w:rsid w:val="00E84047"/>
    <w:rsid w:val="00E85A07"/>
    <w:rsid w:val="00E9142F"/>
    <w:rsid w:val="00E927DF"/>
    <w:rsid w:val="00E94E69"/>
    <w:rsid w:val="00E9510F"/>
    <w:rsid w:val="00E97453"/>
    <w:rsid w:val="00EA440D"/>
    <w:rsid w:val="00EA4CF3"/>
    <w:rsid w:val="00EA7B02"/>
    <w:rsid w:val="00EB0447"/>
    <w:rsid w:val="00EB1455"/>
    <w:rsid w:val="00EB329B"/>
    <w:rsid w:val="00EB6854"/>
    <w:rsid w:val="00EC0DB3"/>
    <w:rsid w:val="00EC1786"/>
    <w:rsid w:val="00EC1AB0"/>
    <w:rsid w:val="00EC5F54"/>
    <w:rsid w:val="00EC78A7"/>
    <w:rsid w:val="00EC78F1"/>
    <w:rsid w:val="00ED2BF6"/>
    <w:rsid w:val="00ED2BFC"/>
    <w:rsid w:val="00ED7B89"/>
    <w:rsid w:val="00EE11D7"/>
    <w:rsid w:val="00EE61B5"/>
    <w:rsid w:val="00EE6B7B"/>
    <w:rsid w:val="00EE6F51"/>
    <w:rsid w:val="00EF0F0C"/>
    <w:rsid w:val="00EF2499"/>
    <w:rsid w:val="00EF37C8"/>
    <w:rsid w:val="00EF47C2"/>
    <w:rsid w:val="00F00C7A"/>
    <w:rsid w:val="00F01CEC"/>
    <w:rsid w:val="00F02794"/>
    <w:rsid w:val="00F02B3B"/>
    <w:rsid w:val="00F04587"/>
    <w:rsid w:val="00F05C0C"/>
    <w:rsid w:val="00F0696A"/>
    <w:rsid w:val="00F07407"/>
    <w:rsid w:val="00F11B6B"/>
    <w:rsid w:val="00F13B57"/>
    <w:rsid w:val="00F16FD7"/>
    <w:rsid w:val="00F20B60"/>
    <w:rsid w:val="00F22917"/>
    <w:rsid w:val="00F23E3D"/>
    <w:rsid w:val="00F24928"/>
    <w:rsid w:val="00F24F7B"/>
    <w:rsid w:val="00F270D1"/>
    <w:rsid w:val="00F30BE0"/>
    <w:rsid w:val="00F325EB"/>
    <w:rsid w:val="00F32DEC"/>
    <w:rsid w:val="00F35AEA"/>
    <w:rsid w:val="00F41B7C"/>
    <w:rsid w:val="00F4283C"/>
    <w:rsid w:val="00F43B2A"/>
    <w:rsid w:val="00F4481F"/>
    <w:rsid w:val="00F44C6A"/>
    <w:rsid w:val="00F46FA6"/>
    <w:rsid w:val="00F51400"/>
    <w:rsid w:val="00F52BA4"/>
    <w:rsid w:val="00F54E6F"/>
    <w:rsid w:val="00F666DF"/>
    <w:rsid w:val="00F67577"/>
    <w:rsid w:val="00F67B0B"/>
    <w:rsid w:val="00F7257A"/>
    <w:rsid w:val="00F76086"/>
    <w:rsid w:val="00F77421"/>
    <w:rsid w:val="00F80006"/>
    <w:rsid w:val="00F81491"/>
    <w:rsid w:val="00F93D52"/>
    <w:rsid w:val="00F97F13"/>
    <w:rsid w:val="00FA20A5"/>
    <w:rsid w:val="00FA4E3B"/>
    <w:rsid w:val="00FA603C"/>
    <w:rsid w:val="00FA7A1D"/>
    <w:rsid w:val="00FB0020"/>
    <w:rsid w:val="00FB0760"/>
    <w:rsid w:val="00FB45DE"/>
    <w:rsid w:val="00FB6E72"/>
    <w:rsid w:val="00FB7557"/>
    <w:rsid w:val="00FC249E"/>
    <w:rsid w:val="00FC4A00"/>
    <w:rsid w:val="00FC4CDF"/>
    <w:rsid w:val="00FC5C20"/>
    <w:rsid w:val="00FD1874"/>
    <w:rsid w:val="00FD436E"/>
    <w:rsid w:val="00FD6048"/>
    <w:rsid w:val="00FE0896"/>
    <w:rsid w:val="00FE4560"/>
    <w:rsid w:val="00FE4B3B"/>
    <w:rsid w:val="00FF1CF9"/>
    <w:rsid w:val="00FF274E"/>
    <w:rsid w:val="00FF51DE"/>
    <w:rsid w:val="00FF62F9"/>
    <w:rsid w:val="00FF7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CF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867D5"/>
    <w:pPr>
      <w:tabs>
        <w:tab w:val="right" w:pos="9360"/>
      </w:tabs>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
    <w:name w:val="HDR"/>
    <w:basedOn w:val="Normal"/>
    <w:autoRedefine/>
    <w:rsid w:val="005352F0"/>
    <w:pPr>
      <w:tabs>
        <w:tab w:val="center" w:pos="4608"/>
      </w:tabs>
      <w:suppressAutoHyphens/>
      <w:jc w:val="both"/>
    </w:pPr>
  </w:style>
  <w:style w:type="paragraph" w:customStyle="1" w:styleId="FTR">
    <w:name w:val="FTR"/>
    <w:basedOn w:val="Normal"/>
    <w:autoRedefine/>
    <w:rsid w:val="005352F0"/>
    <w:pPr>
      <w:suppressAutoHyphens/>
      <w:jc w:val="both"/>
    </w:pPr>
  </w:style>
  <w:style w:type="paragraph" w:customStyle="1" w:styleId="SCT">
    <w:name w:val="SCT"/>
    <w:basedOn w:val="Normal"/>
    <w:autoRedefine/>
    <w:rsid w:val="00A76A5B"/>
    <w:pPr>
      <w:spacing w:after="240"/>
    </w:pPr>
  </w:style>
  <w:style w:type="paragraph" w:customStyle="1" w:styleId="PRT">
    <w:name w:val="PRT"/>
    <w:basedOn w:val="Normal"/>
    <w:autoRedefine/>
    <w:rsid w:val="00744505"/>
    <w:pPr>
      <w:numPr>
        <w:numId w:val="1"/>
      </w:numPr>
      <w:tabs>
        <w:tab w:val="left" w:pos="0"/>
      </w:tabs>
      <w:spacing w:before="240"/>
      <w:outlineLvl w:val="0"/>
    </w:pPr>
  </w:style>
  <w:style w:type="paragraph" w:customStyle="1" w:styleId="ART">
    <w:name w:val="ART"/>
    <w:basedOn w:val="Normal"/>
    <w:autoRedefine/>
    <w:rsid w:val="005352F0"/>
    <w:pPr>
      <w:numPr>
        <w:ilvl w:val="3"/>
        <w:numId w:val="1"/>
      </w:numPr>
      <w:spacing w:before="240"/>
      <w:outlineLvl w:val="1"/>
    </w:pPr>
  </w:style>
  <w:style w:type="paragraph" w:customStyle="1" w:styleId="PR1">
    <w:name w:val="PR1"/>
    <w:basedOn w:val="Normal"/>
    <w:autoRedefine/>
    <w:rsid w:val="005A61BA"/>
    <w:pPr>
      <w:numPr>
        <w:ilvl w:val="4"/>
        <w:numId w:val="1"/>
      </w:numPr>
      <w:spacing w:before="240"/>
      <w:outlineLvl w:val="2"/>
    </w:pPr>
  </w:style>
  <w:style w:type="paragraph" w:customStyle="1" w:styleId="SUT">
    <w:name w:val="SUT"/>
    <w:basedOn w:val="Normal"/>
    <w:next w:val="PR1"/>
    <w:rsid w:val="005352F0"/>
    <w:pPr>
      <w:numPr>
        <w:ilvl w:val="1"/>
        <w:numId w:val="1"/>
      </w:numPr>
      <w:suppressAutoHyphens/>
      <w:spacing w:before="240"/>
      <w:jc w:val="both"/>
      <w:outlineLvl w:val="0"/>
    </w:pPr>
  </w:style>
  <w:style w:type="paragraph" w:customStyle="1" w:styleId="DST">
    <w:name w:val="DST"/>
    <w:basedOn w:val="Normal"/>
    <w:next w:val="PR1"/>
    <w:rsid w:val="005352F0"/>
    <w:pPr>
      <w:numPr>
        <w:ilvl w:val="2"/>
        <w:numId w:val="1"/>
      </w:numPr>
      <w:suppressAutoHyphens/>
      <w:spacing w:before="240"/>
      <w:jc w:val="both"/>
      <w:outlineLvl w:val="0"/>
    </w:pPr>
  </w:style>
  <w:style w:type="paragraph" w:customStyle="1" w:styleId="PR2">
    <w:name w:val="PR2"/>
    <w:basedOn w:val="Normal"/>
    <w:autoRedefine/>
    <w:rsid w:val="007468E6"/>
    <w:pPr>
      <w:numPr>
        <w:ilvl w:val="5"/>
        <w:numId w:val="1"/>
      </w:numPr>
      <w:outlineLvl w:val="3"/>
    </w:pPr>
  </w:style>
  <w:style w:type="paragraph" w:customStyle="1" w:styleId="PR3">
    <w:name w:val="PR3"/>
    <w:basedOn w:val="Normal"/>
    <w:autoRedefine/>
    <w:rsid w:val="001A5030"/>
    <w:pPr>
      <w:numPr>
        <w:ilvl w:val="6"/>
        <w:numId w:val="1"/>
      </w:numPr>
      <w:outlineLvl w:val="4"/>
    </w:pPr>
  </w:style>
  <w:style w:type="paragraph" w:customStyle="1" w:styleId="PR4">
    <w:name w:val="PR4"/>
    <w:basedOn w:val="Normal"/>
    <w:autoRedefine/>
    <w:rsid w:val="005352F0"/>
    <w:pPr>
      <w:numPr>
        <w:ilvl w:val="7"/>
        <w:numId w:val="1"/>
      </w:numPr>
      <w:outlineLvl w:val="5"/>
    </w:pPr>
  </w:style>
  <w:style w:type="paragraph" w:customStyle="1" w:styleId="PR5">
    <w:name w:val="PR5"/>
    <w:basedOn w:val="Normal"/>
    <w:autoRedefine/>
    <w:rsid w:val="005352F0"/>
    <w:pPr>
      <w:numPr>
        <w:ilvl w:val="8"/>
        <w:numId w:val="1"/>
      </w:numPr>
      <w:outlineLvl w:val="6"/>
    </w:pPr>
  </w:style>
  <w:style w:type="paragraph" w:customStyle="1" w:styleId="TB1">
    <w:name w:val="TB1"/>
    <w:basedOn w:val="Normal"/>
    <w:next w:val="PR1"/>
    <w:rsid w:val="005352F0"/>
    <w:pPr>
      <w:suppressAutoHyphens/>
      <w:spacing w:before="240"/>
      <w:ind w:left="288"/>
      <w:jc w:val="both"/>
    </w:pPr>
  </w:style>
  <w:style w:type="paragraph" w:customStyle="1" w:styleId="TB2">
    <w:name w:val="TB2"/>
    <w:basedOn w:val="Normal"/>
    <w:next w:val="PR2"/>
    <w:rsid w:val="005352F0"/>
    <w:pPr>
      <w:suppressAutoHyphens/>
      <w:spacing w:before="240"/>
      <w:ind w:left="864"/>
      <w:jc w:val="both"/>
    </w:pPr>
  </w:style>
  <w:style w:type="paragraph" w:customStyle="1" w:styleId="TB3">
    <w:name w:val="TB3"/>
    <w:basedOn w:val="Normal"/>
    <w:next w:val="PR3"/>
    <w:rsid w:val="005352F0"/>
    <w:pPr>
      <w:suppressAutoHyphens/>
      <w:spacing w:before="240"/>
      <w:ind w:left="1440"/>
      <w:jc w:val="both"/>
    </w:pPr>
  </w:style>
  <w:style w:type="paragraph" w:customStyle="1" w:styleId="TB4">
    <w:name w:val="TB4"/>
    <w:basedOn w:val="Normal"/>
    <w:next w:val="PR4"/>
    <w:rsid w:val="005352F0"/>
    <w:pPr>
      <w:suppressAutoHyphens/>
      <w:spacing w:before="240"/>
      <w:ind w:left="2016"/>
      <w:jc w:val="both"/>
    </w:pPr>
  </w:style>
  <w:style w:type="paragraph" w:customStyle="1" w:styleId="TB5">
    <w:name w:val="TB5"/>
    <w:basedOn w:val="Normal"/>
    <w:next w:val="PR5"/>
    <w:rsid w:val="005352F0"/>
    <w:pPr>
      <w:suppressAutoHyphens/>
      <w:spacing w:before="240"/>
      <w:ind w:left="2592"/>
      <w:jc w:val="both"/>
    </w:pPr>
  </w:style>
  <w:style w:type="paragraph" w:customStyle="1" w:styleId="TF1">
    <w:name w:val="TF1"/>
    <w:basedOn w:val="Normal"/>
    <w:next w:val="TB1"/>
    <w:rsid w:val="005352F0"/>
    <w:pPr>
      <w:suppressAutoHyphens/>
      <w:spacing w:before="240"/>
      <w:ind w:left="288"/>
      <w:jc w:val="both"/>
    </w:pPr>
  </w:style>
  <w:style w:type="paragraph" w:customStyle="1" w:styleId="TF2">
    <w:name w:val="TF2"/>
    <w:basedOn w:val="Normal"/>
    <w:next w:val="TB2"/>
    <w:rsid w:val="005352F0"/>
    <w:pPr>
      <w:suppressAutoHyphens/>
      <w:spacing w:before="240"/>
      <w:ind w:left="864"/>
      <w:jc w:val="both"/>
    </w:pPr>
  </w:style>
  <w:style w:type="paragraph" w:customStyle="1" w:styleId="TF3">
    <w:name w:val="TF3"/>
    <w:basedOn w:val="Normal"/>
    <w:next w:val="TB3"/>
    <w:rsid w:val="005352F0"/>
    <w:pPr>
      <w:suppressAutoHyphens/>
      <w:spacing w:before="240"/>
      <w:ind w:left="1440"/>
      <w:jc w:val="both"/>
    </w:pPr>
  </w:style>
  <w:style w:type="paragraph" w:customStyle="1" w:styleId="TF4">
    <w:name w:val="TF4"/>
    <w:basedOn w:val="Normal"/>
    <w:next w:val="TB4"/>
    <w:rsid w:val="005352F0"/>
    <w:pPr>
      <w:suppressAutoHyphens/>
      <w:spacing w:before="240"/>
      <w:ind w:left="2016"/>
      <w:jc w:val="both"/>
    </w:pPr>
  </w:style>
  <w:style w:type="paragraph" w:customStyle="1" w:styleId="TF5">
    <w:name w:val="TF5"/>
    <w:basedOn w:val="Normal"/>
    <w:next w:val="TB5"/>
    <w:rsid w:val="005352F0"/>
    <w:pPr>
      <w:suppressAutoHyphens/>
      <w:spacing w:before="240"/>
      <w:ind w:left="2592"/>
      <w:jc w:val="both"/>
    </w:pPr>
  </w:style>
  <w:style w:type="paragraph" w:customStyle="1" w:styleId="TCH">
    <w:name w:val="TCH"/>
    <w:basedOn w:val="Normal"/>
    <w:rsid w:val="005352F0"/>
    <w:pPr>
      <w:suppressAutoHyphens/>
    </w:pPr>
  </w:style>
  <w:style w:type="paragraph" w:customStyle="1" w:styleId="TCE">
    <w:name w:val="TCE"/>
    <w:basedOn w:val="Normal"/>
    <w:rsid w:val="005352F0"/>
    <w:pPr>
      <w:suppressAutoHyphens/>
      <w:ind w:left="144" w:hanging="144"/>
    </w:pPr>
  </w:style>
  <w:style w:type="paragraph" w:customStyle="1" w:styleId="EOS">
    <w:name w:val="EOS"/>
    <w:basedOn w:val="Normal"/>
    <w:rsid w:val="005352F0"/>
    <w:pPr>
      <w:spacing w:before="240"/>
    </w:pPr>
  </w:style>
  <w:style w:type="paragraph" w:customStyle="1" w:styleId="ANT">
    <w:name w:val="ANT"/>
    <w:basedOn w:val="Normal"/>
    <w:rsid w:val="005352F0"/>
    <w:pPr>
      <w:suppressAutoHyphens/>
      <w:spacing w:before="240"/>
      <w:jc w:val="both"/>
    </w:pPr>
    <w:rPr>
      <w:color w:val="800080"/>
    </w:rPr>
  </w:style>
  <w:style w:type="paragraph" w:customStyle="1" w:styleId="CMT">
    <w:name w:val="CMT"/>
    <w:basedOn w:val="Normal"/>
    <w:link w:val="CMTChar"/>
    <w:rsid w:val="005352F0"/>
    <w:pPr>
      <w:pBdr>
        <w:top w:val="none" w:sz="0" w:space="0" w:color="000000"/>
        <w:left w:val="none" w:sz="0" w:space="0" w:color="000000"/>
        <w:bottom w:val="none" w:sz="0" w:space="0" w:color="000000"/>
        <w:right w:val="none" w:sz="0" w:space="0" w:color="000000"/>
      </w:pBdr>
      <w:shd w:val="clear" w:color="auto" w:fill="FFFFFF"/>
      <w:spacing w:before="240"/>
    </w:pPr>
    <w:rPr>
      <w:color w:val="0000FF"/>
    </w:rPr>
  </w:style>
  <w:style w:type="character" w:customStyle="1" w:styleId="CPR">
    <w:name w:val="CPR"/>
    <w:basedOn w:val="DefaultParagraphFont"/>
    <w:rsid w:val="005352F0"/>
  </w:style>
  <w:style w:type="character" w:customStyle="1" w:styleId="SPN">
    <w:name w:val="SPN"/>
    <w:basedOn w:val="DefaultParagraphFont"/>
    <w:rsid w:val="005352F0"/>
  </w:style>
  <w:style w:type="character" w:customStyle="1" w:styleId="SPD">
    <w:name w:val="SPD"/>
    <w:basedOn w:val="DefaultParagraphFont"/>
    <w:rsid w:val="005352F0"/>
  </w:style>
  <w:style w:type="character" w:customStyle="1" w:styleId="NUM">
    <w:name w:val="NUM"/>
    <w:basedOn w:val="DefaultParagraphFont"/>
    <w:rsid w:val="005352F0"/>
  </w:style>
  <w:style w:type="character" w:customStyle="1" w:styleId="NAM">
    <w:name w:val="NAM"/>
    <w:basedOn w:val="DefaultParagraphFont"/>
    <w:rsid w:val="005352F0"/>
  </w:style>
  <w:style w:type="character" w:customStyle="1" w:styleId="SI">
    <w:name w:val="SI"/>
    <w:basedOn w:val="DefaultParagraphFont"/>
    <w:rsid w:val="005352F0"/>
    <w:rPr>
      <w:color w:val="auto"/>
    </w:rPr>
  </w:style>
  <w:style w:type="character" w:customStyle="1" w:styleId="IP">
    <w:name w:val="IP"/>
    <w:basedOn w:val="DefaultParagraphFont"/>
    <w:rsid w:val="005352F0"/>
    <w:rPr>
      <w:color w:val="000000"/>
    </w:rPr>
  </w:style>
  <w:style w:type="paragraph" w:customStyle="1" w:styleId="PRN">
    <w:name w:val="PRN"/>
    <w:basedOn w:val="Normal"/>
    <w:autoRedefine/>
    <w:rsid w:val="00814E5C"/>
    <w:pPr>
      <w:pBdr>
        <w:top w:val="threeDEmboss" w:sz="6" w:space="3" w:color="000000"/>
        <w:left w:val="threeDEmboss" w:sz="6" w:space="4" w:color="000000"/>
        <w:bottom w:val="threeDEmboss" w:sz="6" w:space="3" w:color="000000"/>
        <w:right w:val="threeDEmboss" w:sz="6" w:space="4" w:color="000000"/>
      </w:pBdr>
      <w:shd w:val="pct20" w:color="FFFF00" w:fill="FFFFFF"/>
    </w:pPr>
    <w:rPr>
      <w:color w:val="008000"/>
    </w:rPr>
  </w:style>
  <w:style w:type="paragraph" w:styleId="Header">
    <w:name w:val="header"/>
    <w:basedOn w:val="Normal"/>
    <w:rsid w:val="005352F0"/>
    <w:pPr>
      <w:tabs>
        <w:tab w:val="center" w:pos="4320"/>
        <w:tab w:val="right" w:pos="8640"/>
      </w:tabs>
    </w:pPr>
  </w:style>
  <w:style w:type="paragraph" w:styleId="Footer">
    <w:name w:val="footer"/>
    <w:basedOn w:val="Normal"/>
    <w:rsid w:val="005352F0"/>
    <w:pPr>
      <w:tabs>
        <w:tab w:val="center" w:pos="4320"/>
        <w:tab w:val="right" w:pos="8640"/>
      </w:tabs>
    </w:pPr>
  </w:style>
  <w:style w:type="paragraph" w:customStyle="1" w:styleId="PRNVA">
    <w:name w:val="PRNVA"/>
    <w:basedOn w:val="PRN"/>
    <w:rsid w:val="005352F0"/>
    <w:pPr>
      <w:pBdr>
        <w:top w:val="double" w:sz="4" w:space="1" w:color="auto" w:shadow="1"/>
        <w:left w:val="double" w:sz="4" w:space="4" w:color="auto" w:shadow="1"/>
        <w:bottom w:val="double" w:sz="4" w:space="1" w:color="auto" w:shadow="1"/>
        <w:right w:val="double" w:sz="4" w:space="4" w:color="auto" w:shadow="1"/>
      </w:pBdr>
      <w:shd w:val="pct10" w:color="CC99FF" w:fill="FFFFFF"/>
    </w:pPr>
    <w:rPr>
      <w:rFonts w:ascii="Arial" w:hAnsi="Arial"/>
      <w:b/>
    </w:rPr>
  </w:style>
  <w:style w:type="paragraph" w:styleId="BalloonText">
    <w:name w:val="Balloon Text"/>
    <w:basedOn w:val="Normal"/>
    <w:semiHidden/>
    <w:rsid w:val="005352F0"/>
    <w:rPr>
      <w:rFonts w:ascii="Tahoma" w:hAnsi="Tahoma" w:cs="Tahoma"/>
      <w:sz w:val="16"/>
      <w:szCs w:val="16"/>
    </w:rPr>
  </w:style>
  <w:style w:type="paragraph" w:styleId="PlainText">
    <w:name w:val="Plain Text"/>
    <w:basedOn w:val="Normal"/>
    <w:rsid w:val="005352F0"/>
    <w:rPr>
      <w:rFonts w:ascii="Courier New" w:hAnsi="Courier New" w:cs="Courier New"/>
      <w:sz w:val="20"/>
    </w:rPr>
  </w:style>
  <w:style w:type="paragraph" w:customStyle="1" w:styleId="Example">
    <w:name w:val="Example"/>
    <w:basedOn w:val="PRN"/>
    <w:rsid w:val="005352F0"/>
    <w:pPr>
      <w:shd w:val="pct20" w:color="00FFFF" w:fill="FFFFFF"/>
      <w:ind w:left="2880"/>
    </w:pPr>
    <w:rPr>
      <w:u w:val="single"/>
    </w:rPr>
  </w:style>
  <w:style w:type="paragraph" w:styleId="BodyTextIndent">
    <w:name w:val="Body Text Indent"/>
    <w:basedOn w:val="Normal"/>
    <w:rsid w:val="005352F0"/>
    <w:pPr>
      <w:ind w:left="1440" w:hanging="1440"/>
    </w:pPr>
    <w:rPr>
      <w:szCs w:val="24"/>
    </w:rPr>
  </w:style>
  <w:style w:type="character" w:styleId="Hyperlink">
    <w:name w:val="Hyperlink"/>
    <w:rsid w:val="005352F0"/>
    <w:rPr>
      <w:color w:val="0000FF"/>
      <w:u w:val="single"/>
    </w:rPr>
  </w:style>
  <w:style w:type="paragraph" w:customStyle="1" w:styleId="CMTNotHidden">
    <w:name w:val="CMT_NotHidden"/>
    <w:basedOn w:val="CMT"/>
    <w:rsid w:val="005352F0"/>
    <w:rPr>
      <w:vanish/>
      <w:szCs w:val="22"/>
    </w:rPr>
  </w:style>
  <w:style w:type="character" w:styleId="CommentReference">
    <w:name w:val="annotation reference"/>
    <w:semiHidden/>
    <w:rsid w:val="00114B46"/>
    <w:rPr>
      <w:sz w:val="16"/>
      <w:szCs w:val="16"/>
    </w:rPr>
  </w:style>
  <w:style w:type="paragraph" w:styleId="CommentText">
    <w:name w:val="annotation text"/>
    <w:basedOn w:val="Normal"/>
    <w:semiHidden/>
    <w:rsid w:val="00114B46"/>
    <w:rPr>
      <w:sz w:val="20"/>
    </w:rPr>
  </w:style>
  <w:style w:type="paragraph" w:styleId="CommentSubject">
    <w:name w:val="annotation subject"/>
    <w:basedOn w:val="CommentText"/>
    <w:next w:val="CommentText"/>
    <w:semiHidden/>
    <w:rsid w:val="00114B46"/>
    <w:rPr>
      <w:b/>
      <w:bCs/>
    </w:rPr>
  </w:style>
  <w:style w:type="paragraph" w:customStyle="1" w:styleId="OMN">
    <w:name w:val="OMN"/>
    <w:basedOn w:val="Normal"/>
    <w:autoRedefine/>
    <w:rsid w:val="00167302"/>
    <w:pPr>
      <w:pBdr>
        <w:top w:val="threeDEmboss" w:sz="6" w:space="3" w:color="000000"/>
        <w:left w:val="threeDEmboss" w:sz="6" w:space="4" w:color="000000"/>
        <w:bottom w:val="threeDEmboss" w:sz="6" w:space="3" w:color="000000"/>
        <w:right w:val="threeDEmboss" w:sz="6" w:space="4" w:color="000000"/>
      </w:pBdr>
      <w:shd w:val="pct20" w:color="00FF00" w:fill="FFFFFF"/>
    </w:pPr>
    <w:rPr>
      <w:color w:val="800080"/>
    </w:rPr>
  </w:style>
  <w:style w:type="paragraph" w:customStyle="1" w:styleId="TIP">
    <w:name w:val="TIP"/>
    <w:basedOn w:val="Normal"/>
    <w:link w:val="TIPChar"/>
    <w:rsid w:val="00F67577"/>
    <w:pPr>
      <w:pBdr>
        <w:top w:val="single" w:sz="4" w:space="3" w:color="auto"/>
        <w:left w:val="single" w:sz="4" w:space="4" w:color="auto"/>
        <w:bottom w:val="single" w:sz="4" w:space="3" w:color="auto"/>
        <w:right w:val="single" w:sz="4" w:space="4" w:color="auto"/>
      </w:pBdr>
      <w:spacing w:before="240"/>
    </w:pPr>
    <w:rPr>
      <w:color w:val="B30838"/>
      <w:sz w:val="20"/>
    </w:rPr>
  </w:style>
  <w:style w:type="character" w:customStyle="1" w:styleId="TIPChar">
    <w:name w:val="TIP Char"/>
    <w:link w:val="TIP"/>
    <w:rsid w:val="00F67577"/>
    <w:rPr>
      <w:color w:val="B30838"/>
    </w:rPr>
  </w:style>
  <w:style w:type="paragraph" w:customStyle="1" w:styleId="STEditOR">
    <w:name w:val="STEdit[OR]"/>
    <w:basedOn w:val="CMT"/>
    <w:link w:val="STEditORChar"/>
    <w:rsid w:val="00C81E84"/>
  </w:style>
  <w:style w:type="character" w:customStyle="1" w:styleId="CMTChar">
    <w:name w:val="CMT Char"/>
    <w:basedOn w:val="DefaultParagraphFont"/>
    <w:link w:val="CMT"/>
    <w:rsid w:val="00C81E84"/>
    <w:rPr>
      <w:color w:val="0000FF"/>
      <w:sz w:val="22"/>
      <w:shd w:val="clear" w:color="auto" w:fill="FFFFFF"/>
    </w:rPr>
  </w:style>
  <w:style w:type="character" w:customStyle="1" w:styleId="STEditORChar">
    <w:name w:val="STEdit[OR] Char"/>
    <w:basedOn w:val="CMTChar"/>
    <w:link w:val="STEditOR"/>
    <w:rsid w:val="00C81E84"/>
    <w:rPr>
      <w:color w:val="0000FF"/>
      <w:sz w:val="22"/>
      <w:shd w:val="clear" w:color="auto" w:fill="FFFFFF"/>
    </w:rPr>
  </w:style>
  <w:style w:type="character" w:styleId="FollowedHyperlink">
    <w:name w:val="FollowedHyperlink"/>
    <w:basedOn w:val="DefaultParagraphFont"/>
    <w:rsid w:val="00D723AF"/>
    <w:rPr>
      <w:color w:val="800080" w:themeColor="followedHyperlink"/>
      <w:u w:val="single"/>
    </w:rPr>
  </w:style>
  <w:style w:type="paragraph" w:styleId="Revision">
    <w:name w:val="Revision"/>
    <w:hidden/>
    <w:uiPriority w:val="99"/>
    <w:semiHidden/>
    <w:rsid w:val="00CC2BF1"/>
    <w:rPr>
      <w:sz w:val="22"/>
    </w:rPr>
  </w:style>
  <w:style w:type="character" w:styleId="PageNumber">
    <w:name w:val="page number"/>
    <w:basedOn w:val="DefaultParagraphFont"/>
    <w:semiHidden/>
    <w:unhideWhenUsed/>
    <w:rsid w:val="007867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867D5"/>
    <w:pPr>
      <w:tabs>
        <w:tab w:val="right" w:pos="9360"/>
      </w:tabs>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
    <w:name w:val="HDR"/>
    <w:basedOn w:val="Normal"/>
    <w:autoRedefine/>
    <w:rsid w:val="005352F0"/>
    <w:pPr>
      <w:tabs>
        <w:tab w:val="center" w:pos="4608"/>
      </w:tabs>
      <w:suppressAutoHyphens/>
      <w:jc w:val="both"/>
    </w:pPr>
  </w:style>
  <w:style w:type="paragraph" w:customStyle="1" w:styleId="FTR">
    <w:name w:val="FTR"/>
    <w:basedOn w:val="Normal"/>
    <w:autoRedefine/>
    <w:rsid w:val="005352F0"/>
    <w:pPr>
      <w:suppressAutoHyphens/>
      <w:jc w:val="both"/>
    </w:pPr>
  </w:style>
  <w:style w:type="paragraph" w:customStyle="1" w:styleId="SCT">
    <w:name w:val="SCT"/>
    <w:basedOn w:val="Normal"/>
    <w:autoRedefine/>
    <w:rsid w:val="00A76A5B"/>
    <w:pPr>
      <w:spacing w:after="240"/>
    </w:pPr>
  </w:style>
  <w:style w:type="paragraph" w:customStyle="1" w:styleId="PRT">
    <w:name w:val="PRT"/>
    <w:basedOn w:val="Normal"/>
    <w:autoRedefine/>
    <w:rsid w:val="00744505"/>
    <w:pPr>
      <w:numPr>
        <w:numId w:val="1"/>
      </w:numPr>
      <w:tabs>
        <w:tab w:val="left" w:pos="0"/>
      </w:tabs>
      <w:spacing w:before="240"/>
      <w:outlineLvl w:val="0"/>
    </w:pPr>
  </w:style>
  <w:style w:type="paragraph" w:customStyle="1" w:styleId="ART">
    <w:name w:val="ART"/>
    <w:basedOn w:val="Normal"/>
    <w:autoRedefine/>
    <w:rsid w:val="005352F0"/>
    <w:pPr>
      <w:numPr>
        <w:ilvl w:val="3"/>
        <w:numId w:val="1"/>
      </w:numPr>
      <w:spacing w:before="240"/>
      <w:outlineLvl w:val="1"/>
    </w:pPr>
  </w:style>
  <w:style w:type="paragraph" w:customStyle="1" w:styleId="PR1">
    <w:name w:val="PR1"/>
    <w:basedOn w:val="Normal"/>
    <w:autoRedefine/>
    <w:rsid w:val="005A61BA"/>
    <w:pPr>
      <w:numPr>
        <w:ilvl w:val="4"/>
        <w:numId w:val="1"/>
      </w:numPr>
      <w:spacing w:before="240"/>
      <w:outlineLvl w:val="2"/>
    </w:pPr>
  </w:style>
  <w:style w:type="paragraph" w:customStyle="1" w:styleId="SUT">
    <w:name w:val="SUT"/>
    <w:basedOn w:val="Normal"/>
    <w:next w:val="PR1"/>
    <w:rsid w:val="005352F0"/>
    <w:pPr>
      <w:numPr>
        <w:ilvl w:val="1"/>
        <w:numId w:val="1"/>
      </w:numPr>
      <w:suppressAutoHyphens/>
      <w:spacing w:before="240"/>
      <w:jc w:val="both"/>
      <w:outlineLvl w:val="0"/>
    </w:pPr>
  </w:style>
  <w:style w:type="paragraph" w:customStyle="1" w:styleId="DST">
    <w:name w:val="DST"/>
    <w:basedOn w:val="Normal"/>
    <w:next w:val="PR1"/>
    <w:rsid w:val="005352F0"/>
    <w:pPr>
      <w:numPr>
        <w:ilvl w:val="2"/>
        <w:numId w:val="1"/>
      </w:numPr>
      <w:suppressAutoHyphens/>
      <w:spacing w:before="240"/>
      <w:jc w:val="both"/>
      <w:outlineLvl w:val="0"/>
    </w:pPr>
  </w:style>
  <w:style w:type="paragraph" w:customStyle="1" w:styleId="PR2">
    <w:name w:val="PR2"/>
    <w:basedOn w:val="Normal"/>
    <w:autoRedefine/>
    <w:rsid w:val="007468E6"/>
    <w:pPr>
      <w:numPr>
        <w:ilvl w:val="5"/>
        <w:numId w:val="1"/>
      </w:numPr>
      <w:outlineLvl w:val="3"/>
    </w:pPr>
  </w:style>
  <w:style w:type="paragraph" w:customStyle="1" w:styleId="PR3">
    <w:name w:val="PR3"/>
    <w:basedOn w:val="Normal"/>
    <w:autoRedefine/>
    <w:rsid w:val="001A5030"/>
    <w:pPr>
      <w:numPr>
        <w:ilvl w:val="6"/>
        <w:numId w:val="1"/>
      </w:numPr>
      <w:outlineLvl w:val="4"/>
    </w:pPr>
  </w:style>
  <w:style w:type="paragraph" w:customStyle="1" w:styleId="PR4">
    <w:name w:val="PR4"/>
    <w:basedOn w:val="Normal"/>
    <w:autoRedefine/>
    <w:rsid w:val="005352F0"/>
    <w:pPr>
      <w:numPr>
        <w:ilvl w:val="7"/>
        <w:numId w:val="1"/>
      </w:numPr>
      <w:outlineLvl w:val="5"/>
    </w:pPr>
  </w:style>
  <w:style w:type="paragraph" w:customStyle="1" w:styleId="PR5">
    <w:name w:val="PR5"/>
    <w:basedOn w:val="Normal"/>
    <w:autoRedefine/>
    <w:rsid w:val="005352F0"/>
    <w:pPr>
      <w:numPr>
        <w:ilvl w:val="8"/>
        <w:numId w:val="1"/>
      </w:numPr>
      <w:outlineLvl w:val="6"/>
    </w:pPr>
  </w:style>
  <w:style w:type="paragraph" w:customStyle="1" w:styleId="TB1">
    <w:name w:val="TB1"/>
    <w:basedOn w:val="Normal"/>
    <w:next w:val="PR1"/>
    <w:rsid w:val="005352F0"/>
    <w:pPr>
      <w:suppressAutoHyphens/>
      <w:spacing w:before="240"/>
      <w:ind w:left="288"/>
      <w:jc w:val="both"/>
    </w:pPr>
  </w:style>
  <w:style w:type="paragraph" w:customStyle="1" w:styleId="TB2">
    <w:name w:val="TB2"/>
    <w:basedOn w:val="Normal"/>
    <w:next w:val="PR2"/>
    <w:rsid w:val="005352F0"/>
    <w:pPr>
      <w:suppressAutoHyphens/>
      <w:spacing w:before="240"/>
      <w:ind w:left="864"/>
      <w:jc w:val="both"/>
    </w:pPr>
  </w:style>
  <w:style w:type="paragraph" w:customStyle="1" w:styleId="TB3">
    <w:name w:val="TB3"/>
    <w:basedOn w:val="Normal"/>
    <w:next w:val="PR3"/>
    <w:rsid w:val="005352F0"/>
    <w:pPr>
      <w:suppressAutoHyphens/>
      <w:spacing w:before="240"/>
      <w:ind w:left="1440"/>
      <w:jc w:val="both"/>
    </w:pPr>
  </w:style>
  <w:style w:type="paragraph" w:customStyle="1" w:styleId="TB4">
    <w:name w:val="TB4"/>
    <w:basedOn w:val="Normal"/>
    <w:next w:val="PR4"/>
    <w:rsid w:val="005352F0"/>
    <w:pPr>
      <w:suppressAutoHyphens/>
      <w:spacing w:before="240"/>
      <w:ind w:left="2016"/>
      <w:jc w:val="both"/>
    </w:pPr>
  </w:style>
  <w:style w:type="paragraph" w:customStyle="1" w:styleId="TB5">
    <w:name w:val="TB5"/>
    <w:basedOn w:val="Normal"/>
    <w:next w:val="PR5"/>
    <w:rsid w:val="005352F0"/>
    <w:pPr>
      <w:suppressAutoHyphens/>
      <w:spacing w:before="240"/>
      <w:ind w:left="2592"/>
      <w:jc w:val="both"/>
    </w:pPr>
  </w:style>
  <w:style w:type="paragraph" w:customStyle="1" w:styleId="TF1">
    <w:name w:val="TF1"/>
    <w:basedOn w:val="Normal"/>
    <w:next w:val="TB1"/>
    <w:rsid w:val="005352F0"/>
    <w:pPr>
      <w:suppressAutoHyphens/>
      <w:spacing w:before="240"/>
      <w:ind w:left="288"/>
      <w:jc w:val="both"/>
    </w:pPr>
  </w:style>
  <w:style w:type="paragraph" w:customStyle="1" w:styleId="TF2">
    <w:name w:val="TF2"/>
    <w:basedOn w:val="Normal"/>
    <w:next w:val="TB2"/>
    <w:rsid w:val="005352F0"/>
    <w:pPr>
      <w:suppressAutoHyphens/>
      <w:spacing w:before="240"/>
      <w:ind w:left="864"/>
      <w:jc w:val="both"/>
    </w:pPr>
  </w:style>
  <w:style w:type="paragraph" w:customStyle="1" w:styleId="TF3">
    <w:name w:val="TF3"/>
    <w:basedOn w:val="Normal"/>
    <w:next w:val="TB3"/>
    <w:rsid w:val="005352F0"/>
    <w:pPr>
      <w:suppressAutoHyphens/>
      <w:spacing w:before="240"/>
      <w:ind w:left="1440"/>
      <w:jc w:val="both"/>
    </w:pPr>
  </w:style>
  <w:style w:type="paragraph" w:customStyle="1" w:styleId="TF4">
    <w:name w:val="TF4"/>
    <w:basedOn w:val="Normal"/>
    <w:next w:val="TB4"/>
    <w:rsid w:val="005352F0"/>
    <w:pPr>
      <w:suppressAutoHyphens/>
      <w:spacing w:before="240"/>
      <w:ind w:left="2016"/>
      <w:jc w:val="both"/>
    </w:pPr>
  </w:style>
  <w:style w:type="paragraph" w:customStyle="1" w:styleId="TF5">
    <w:name w:val="TF5"/>
    <w:basedOn w:val="Normal"/>
    <w:next w:val="TB5"/>
    <w:rsid w:val="005352F0"/>
    <w:pPr>
      <w:suppressAutoHyphens/>
      <w:spacing w:before="240"/>
      <w:ind w:left="2592"/>
      <w:jc w:val="both"/>
    </w:pPr>
  </w:style>
  <w:style w:type="paragraph" w:customStyle="1" w:styleId="TCH">
    <w:name w:val="TCH"/>
    <w:basedOn w:val="Normal"/>
    <w:rsid w:val="005352F0"/>
    <w:pPr>
      <w:suppressAutoHyphens/>
    </w:pPr>
  </w:style>
  <w:style w:type="paragraph" w:customStyle="1" w:styleId="TCE">
    <w:name w:val="TCE"/>
    <w:basedOn w:val="Normal"/>
    <w:rsid w:val="005352F0"/>
    <w:pPr>
      <w:suppressAutoHyphens/>
      <w:ind w:left="144" w:hanging="144"/>
    </w:pPr>
  </w:style>
  <w:style w:type="paragraph" w:customStyle="1" w:styleId="EOS">
    <w:name w:val="EOS"/>
    <w:basedOn w:val="Normal"/>
    <w:rsid w:val="005352F0"/>
    <w:pPr>
      <w:spacing w:before="240"/>
    </w:pPr>
  </w:style>
  <w:style w:type="paragraph" w:customStyle="1" w:styleId="ANT">
    <w:name w:val="ANT"/>
    <w:basedOn w:val="Normal"/>
    <w:rsid w:val="005352F0"/>
    <w:pPr>
      <w:suppressAutoHyphens/>
      <w:spacing w:before="240"/>
      <w:jc w:val="both"/>
    </w:pPr>
    <w:rPr>
      <w:color w:val="800080"/>
    </w:rPr>
  </w:style>
  <w:style w:type="paragraph" w:customStyle="1" w:styleId="CMT">
    <w:name w:val="CMT"/>
    <w:basedOn w:val="Normal"/>
    <w:link w:val="CMTChar"/>
    <w:rsid w:val="005352F0"/>
    <w:pPr>
      <w:pBdr>
        <w:top w:val="none" w:sz="0" w:space="0" w:color="000000"/>
        <w:left w:val="none" w:sz="0" w:space="0" w:color="000000"/>
        <w:bottom w:val="none" w:sz="0" w:space="0" w:color="000000"/>
        <w:right w:val="none" w:sz="0" w:space="0" w:color="000000"/>
      </w:pBdr>
      <w:shd w:val="clear" w:color="auto" w:fill="FFFFFF"/>
      <w:spacing w:before="240"/>
    </w:pPr>
    <w:rPr>
      <w:color w:val="0000FF"/>
    </w:rPr>
  </w:style>
  <w:style w:type="character" w:customStyle="1" w:styleId="CPR">
    <w:name w:val="CPR"/>
    <w:basedOn w:val="DefaultParagraphFont"/>
    <w:rsid w:val="005352F0"/>
  </w:style>
  <w:style w:type="character" w:customStyle="1" w:styleId="SPN">
    <w:name w:val="SPN"/>
    <w:basedOn w:val="DefaultParagraphFont"/>
    <w:rsid w:val="005352F0"/>
  </w:style>
  <w:style w:type="character" w:customStyle="1" w:styleId="SPD">
    <w:name w:val="SPD"/>
    <w:basedOn w:val="DefaultParagraphFont"/>
    <w:rsid w:val="005352F0"/>
  </w:style>
  <w:style w:type="character" w:customStyle="1" w:styleId="NUM">
    <w:name w:val="NUM"/>
    <w:basedOn w:val="DefaultParagraphFont"/>
    <w:rsid w:val="005352F0"/>
  </w:style>
  <w:style w:type="character" w:customStyle="1" w:styleId="NAM">
    <w:name w:val="NAM"/>
    <w:basedOn w:val="DefaultParagraphFont"/>
    <w:rsid w:val="005352F0"/>
  </w:style>
  <w:style w:type="character" w:customStyle="1" w:styleId="SI">
    <w:name w:val="SI"/>
    <w:basedOn w:val="DefaultParagraphFont"/>
    <w:rsid w:val="005352F0"/>
    <w:rPr>
      <w:color w:val="auto"/>
    </w:rPr>
  </w:style>
  <w:style w:type="character" w:customStyle="1" w:styleId="IP">
    <w:name w:val="IP"/>
    <w:basedOn w:val="DefaultParagraphFont"/>
    <w:rsid w:val="005352F0"/>
    <w:rPr>
      <w:color w:val="000000"/>
    </w:rPr>
  </w:style>
  <w:style w:type="paragraph" w:customStyle="1" w:styleId="PRN">
    <w:name w:val="PRN"/>
    <w:basedOn w:val="Normal"/>
    <w:autoRedefine/>
    <w:rsid w:val="00814E5C"/>
    <w:pPr>
      <w:pBdr>
        <w:top w:val="threeDEmboss" w:sz="6" w:space="3" w:color="000000"/>
        <w:left w:val="threeDEmboss" w:sz="6" w:space="4" w:color="000000"/>
        <w:bottom w:val="threeDEmboss" w:sz="6" w:space="3" w:color="000000"/>
        <w:right w:val="threeDEmboss" w:sz="6" w:space="4" w:color="000000"/>
      </w:pBdr>
      <w:shd w:val="pct20" w:color="FFFF00" w:fill="FFFFFF"/>
    </w:pPr>
    <w:rPr>
      <w:color w:val="008000"/>
    </w:rPr>
  </w:style>
  <w:style w:type="paragraph" w:styleId="Header">
    <w:name w:val="header"/>
    <w:basedOn w:val="Normal"/>
    <w:rsid w:val="005352F0"/>
    <w:pPr>
      <w:tabs>
        <w:tab w:val="center" w:pos="4320"/>
        <w:tab w:val="right" w:pos="8640"/>
      </w:tabs>
    </w:pPr>
  </w:style>
  <w:style w:type="paragraph" w:styleId="Footer">
    <w:name w:val="footer"/>
    <w:basedOn w:val="Normal"/>
    <w:rsid w:val="005352F0"/>
    <w:pPr>
      <w:tabs>
        <w:tab w:val="center" w:pos="4320"/>
        <w:tab w:val="right" w:pos="8640"/>
      </w:tabs>
    </w:pPr>
  </w:style>
  <w:style w:type="paragraph" w:customStyle="1" w:styleId="PRNVA">
    <w:name w:val="PRNVA"/>
    <w:basedOn w:val="PRN"/>
    <w:rsid w:val="005352F0"/>
    <w:pPr>
      <w:pBdr>
        <w:top w:val="double" w:sz="4" w:space="1" w:color="auto" w:shadow="1"/>
        <w:left w:val="double" w:sz="4" w:space="4" w:color="auto" w:shadow="1"/>
        <w:bottom w:val="double" w:sz="4" w:space="1" w:color="auto" w:shadow="1"/>
        <w:right w:val="double" w:sz="4" w:space="4" w:color="auto" w:shadow="1"/>
      </w:pBdr>
      <w:shd w:val="pct10" w:color="CC99FF" w:fill="FFFFFF"/>
    </w:pPr>
    <w:rPr>
      <w:rFonts w:ascii="Arial" w:hAnsi="Arial"/>
      <w:b/>
    </w:rPr>
  </w:style>
  <w:style w:type="paragraph" w:styleId="BalloonText">
    <w:name w:val="Balloon Text"/>
    <w:basedOn w:val="Normal"/>
    <w:semiHidden/>
    <w:rsid w:val="005352F0"/>
    <w:rPr>
      <w:rFonts w:ascii="Tahoma" w:hAnsi="Tahoma" w:cs="Tahoma"/>
      <w:sz w:val="16"/>
      <w:szCs w:val="16"/>
    </w:rPr>
  </w:style>
  <w:style w:type="paragraph" w:styleId="PlainText">
    <w:name w:val="Plain Text"/>
    <w:basedOn w:val="Normal"/>
    <w:rsid w:val="005352F0"/>
    <w:rPr>
      <w:rFonts w:ascii="Courier New" w:hAnsi="Courier New" w:cs="Courier New"/>
      <w:sz w:val="20"/>
    </w:rPr>
  </w:style>
  <w:style w:type="paragraph" w:customStyle="1" w:styleId="Example">
    <w:name w:val="Example"/>
    <w:basedOn w:val="PRN"/>
    <w:rsid w:val="005352F0"/>
    <w:pPr>
      <w:shd w:val="pct20" w:color="00FFFF" w:fill="FFFFFF"/>
      <w:ind w:left="2880"/>
    </w:pPr>
    <w:rPr>
      <w:u w:val="single"/>
    </w:rPr>
  </w:style>
  <w:style w:type="paragraph" w:styleId="BodyTextIndent">
    <w:name w:val="Body Text Indent"/>
    <w:basedOn w:val="Normal"/>
    <w:rsid w:val="005352F0"/>
    <w:pPr>
      <w:ind w:left="1440" w:hanging="1440"/>
    </w:pPr>
    <w:rPr>
      <w:szCs w:val="24"/>
    </w:rPr>
  </w:style>
  <w:style w:type="character" w:styleId="Hyperlink">
    <w:name w:val="Hyperlink"/>
    <w:rsid w:val="005352F0"/>
    <w:rPr>
      <w:color w:val="0000FF"/>
      <w:u w:val="single"/>
    </w:rPr>
  </w:style>
  <w:style w:type="paragraph" w:customStyle="1" w:styleId="CMTNotHidden">
    <w:name w:val="CMT_NotHidden"/>
    <w:basedOn w:val="CMT"/>
    <w:rsid w:val="005352F0"/>
    <w:rPr>
      <w:vanish/>
      <w:szCs w:val="22"/>
    </w:rPr>
  </w:style>
  <w:style w:type="character" w:styleId="CommentReference">
    <w:name w:val="annotation reference"/>
    <w:semiHidden/>
    <w:rsid w:val="00114B46"/>
    <w:rPr>
      <w:sz w:val="16"/>
      <w:szCs w:val="16"/>
    </w:rPr>
  </w:style>
  <w:style w:type="paragraph" w:styleId="CommentText">
    <w:name w:val="annotation text"/>
    <w:basedOn w:val="Normal"/>
    <w:semiHidden/>
    <w:rsid w:val="00114B46"/>
    <w:rPr>
      <w:sz w:val="20"/>
    </w:rPr>
  </w:style>
  <w:style w:type="paragraph" w:styleId="CommentSubject">
    <w:name w:val="annotation subject"/>
    <w:basedOn w:val="CommentText"/>
    <w:next w:val="CommentText"/>
    <w:semiHidden/>
    <w:rsid w:val="00114B46"/>
    <w:rPr>
      <w:b/>
      <w:bCs/>
    </w:rPr>
  </w:style>
  <w:style w:type="paragraph" w:customStyle="1" w:styleId="OMN">
    <w:name w:val="OMN"/>
    <w:basedOn w:val="Normal"/>
    <w:autoRedefine/>
    <w:rsid w:val="00167302"/>
    <w:pPr>
      <w:pBdr>
        <w:top w:val="threeDEmboss" w:sz="6" w:space="3" w:color="000000"/>
        <w:left w:val="threeDEmboss" w:sz="6" w:space="4" w:color="000000"/>
        <w:bottom w:val="threeDEmboss" w:sz="6" w:space="3" w:color="000000"/>
        <w:right w:val="threeDEmboss" w:sz="6" w:space="4" w:color="000000"/>
      </w:pBdr>
      <w:shd w:val="pct20" w:color="00FF00" w:fill="FFFFFF"/>
    </w:pPr>
    <w:rPr>
      <w:color w:val="800080"/>
    </w:rPr>
  </w:style>
  <w:style w:type="paragraph" w:customStyle="1" w:styleId="TIP">
    <w:name w:val="TIP"/>
    <w:basedOn w:val="Normal"/>
    <w:link w:val="TIPChar"/>
    <w:rsid w:val="00F67577"/>
    <w:pPr>
      <w:pBdr>
        <w:top w:val="single" w:sz="4" w:space="3" w:color="auto"/>
        <w:left w:val="single" w:sz="4" w:space="4" w:color="auto"/>
        <w:bottom w:val="single" w:sz="4" w:space="3" w:color="auto"/>
        <w:right w:val="single" w:sz="4" w:space="4" w:color="auto"/>
      </w:pBdr>
      <w:spacing w:before="240"/>
    </w:pPr>
    <w:rPr>
      <w:color w:val="B30838"/>
      <w:sz w:val="20"/>
    </w:rPr>
  </w:style>
  <w:style w:type="character" w:customStyle="1" w:styleId="TIPChar">
    <w:name w:val="TIP Char"/>
    <w:link w:val="TIP"/>
    <w:rsid w:val="00F67577"/>
    <w:rPr>
      <w:color w:val="B30838"/>
    </w:rPr>
  </w:style>
  <w:style w:type="paragraph" w:customStyle="1" w:styleId="STEditOR">
    <w:name w:val="STEdit[OR]"/>
    <w:basedOn w:val="CMT"/>
    <w:link w:val="STEditORChar"/>
    <w:rsid w:val="00C81E84"/>
  </w:style>
  <w:style w:type="character" w:customStyle="1" w:styleId="CMTChar">
    <w:name w:val="CMT Char"/>
    <w:basedOn w:val="DefaultParagraphFont"/>
    <w:link w:val="CMT"/>
    <w:rsid w:val="00C81E84"/>
    <w:rPr>
      <w:color w:val="0000FF"/>
      <w:sz w:val="22"/>
      <w:shd w:val="clear" w:color="auto" w:fill="FFFFFF"/>
    </w:rPr>
  </w:style>
  <w:style w:type="character" w:customStyle="1" w:styleId="STEditORChar">
    <w:name w:val="STEdit[OR] Char"/>
    <w:basedOn w:val="CMTChar"/>
    <w:link w:val="STEditOR"/>
    <w:rsid w:val="00C81E84"/>
    <w:rPr>
      <w:color w:val="0000FF"/>
      <w:sz w:val="22"/>
      <w:shd w:val="clear" w:color="auto" w:fill="FFFFFF"/>
    </w:rPr>
  </w:style>
  <w:style w:type="character" w:styleId="FollowedHyperlink">
    <w:name w:val="FollowedHyperlink"/>
    <w:basedOn w:val="DefaultParagraphFont"/>
    <w:rsid w:val="00D723AF"/>
    <w:rPr>
      <w:color w:val="800080" w:themeColor="followedHyperlink"/>
      <w:u w:val="single"/>
    </w:rPr>
  </w:style>
  <w:style w:type="paragraph" w:styleId="Revision">
    <w:name w:val="Revision"/>
    <w:hidden/>
    <w:uiPriority w:val="99"/>
    <w:semiHidden/>
    <w:rsid w:val="00CC2BF1"/>
    <w:rPr>
      <w:sz w:val="22"/>
    </w:rPr>
  </w:style>
  <w:style w:type="character" w:styleId="PageNumber">
    <w:name w:val="page number"/>
    <w:basedOn w:val="DefaultParagraphFont"/>
    <w:semiHidden/>
    <w:unhideWhenUsed/>
    <w:rsid w:val="0078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hpdcollaborative.org" TargetMode="External"/><Relationship Id="rId21" Type="http://schemas.openxmlformats.org/officeDocument/2006/relationships/hyperlink" Target="http://www.iccsafe.org/CS/IGCC/Pages/default.aspx" TargetMode="External"/><Relationship Id="rId22" Type="http://schemas.openxmlformats.org/officeDocument/2006/relationships/hyperlink" Target="http://living-future.org/lbc" TargetMode="External"/><Relationship Id="rId23" Type="http://schemas.openxmlformats.org/officeDocument/2006/relationships/hyperlink" Target="http://www.declareproducts.com" TargetMode="External"/><Relationship Id="rId24" Type="http://schemas.openxmlformats.org/officeDocument/2006/relationships/hyperlink" Target="http://www.scsglobalservices.com/floorscore" TargetMode="External"/><Relationship Id="rId25" Type="http://schemas.openxmlformats.org/officeDocument/2006/relationships/hyperlink" Target="http://www.aqmd.gov/rules/reg/reg11/r1113.pdf" TargetMode="External"/><Relationship Id="rId26" Type="http://schemas.openxmlformats.org/officeDocument/2006/relationships/hyperlink" Target="http://www.arb.ca.gov/drdb/sc/curhtml/r1168.pdf" TargetMode="External"/><Relationship Id="rId27" Type="http://schemas.openxmlformats.org/officeDocument/2006/relationships/hyperlink" Target="http://www.epa.gov/indoorairplus" TargetMode="External"/><Relationship Id="rId28" Type="http://schemas.openxmlformats.org/officeDocument/2006/relationships/hyperlink" Target="http://www.epa.gov/ttnemc01/promgate/m-24.pdf" TargetMode="External"/><Relationship Id="rId29" Type="http://schemas.openxmlformats.org/officeDocument/2006/relationships/hyperlink" Target="http://www.epa.gov/radon/pdfs/buildradonou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epa.gov/opptintr/epp/pubs/cleaning.htm" TargetMode="External"/><Relationship Id="rId31" Type="http://schemas.openxmlformats.org/officeDocument/2006/relationships/hyperlink" Target="http://www.epa.gov/radon/zonemap.html" TargetMode="External"/><Relationship Id="rId32" Type="http://schemas.openxmlformats.org/officeDocument/2006/relationships/hyperlink" Target="http://www.epa.gov/oppt/existingchemicals/index.html" TargetMode="External"/><Relationship Id="rId9" Type="http://schemas.openxmlformats.org/officeDocument/2006/relationships/hyperlink" Target="http://www.arb.ca.gov/toxics/compwood/compwood.ht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usgbc.org/leed/v4" TargetMode="External"/><Relationship Id="rId34" Type="http://schemas.openxmlformats.org/officeDocument/2006/relationships/hyperlink" Target="http://greenhomeguide.com/know-how/article/buyers-guide-to-green-countertop-materials" TargetMode="External"/><Relationship Id="rId35" Type="http://schemas.openxmlformats.org/officeDocument/2006/relationships/hyperlink" Target="http://www.ashrae.org" TargetMode="External"/><Relationship Id="rId36" Type="http://schemas.openxmlformats.org/officeDocument/2006/relationships/hyperlink" Target="http://www.astm.org" TargetMode="External"/><Relationship Id="rId10" Type="http://schemas.openxmlformats.org/officeDocument/2006/relationships/hyperlink" Target="http://www.arb.ca.gov/coatings/arch/docs.htm" TargetMode="External"/><Relationship Id="rId11" Type="http://schemas.openxmlformats.org/officeDocument/2006/relationships/hyperlink" Target="http://www.arb.ca.gov/toxics/id/taclist.htm" TargetMode="External"/><Relationship Id="rId12" Type="http://schemas.openxmlformats.org/officeDocument/2006/relationships/hyperlink" Target="http://oehha.ca.gov/air/allrels.html" TargetMode="External"/><Relationship Id="rId13" Type="http://schemas.openxmlformats.org/officeDocument/2006/relationships/hyperlink" Target="http://www.oehha.ca.gov/prop65/prop65_list/newlist.html" TargetMode="External"/><Relationship Id="rId14" Type="http://schemas.openxmlformats.org/officeDocument/2006/relationships/hyperlink" Target="https://law.resource.org/pub/us/code/bsc.ca.gov/" TargetMode="External"/><Relationship Id="rId15" Type="http://schemas.openxmlformats.org/officeDocument/2006/relationships/hyperlink" Target="http://www.cal-iaq.org/separator/voc/standard-method" TargetMode="External"/><Relationship Id="rId16" Type="http://schemas.openxmlformats.org/officeDocument/2006/relationships/hyperlink" Target="http://www.carpet-rug.org/" TargetMode="External"/><Relationship Id="rId17" Type="http://schemas.openxmlformats.org/officeDocument/2006/relationships/hyperlink" Target="http://www.c2ccertified.org/product_certification/c2ccertified_product_standard" TargetMode="External"/><Relationship Id="rId18" Type="http://schemas.openxmlformats.org/officeDocument/2006/relationships/hyperlink" Target="http://www.greenseal.org/FindGreenSealProductsAndServices.aspx" TargetMode="External"/><Relationship Id="rId19" Type="http://schemas.openxmlformats.org/officeDocument/2006/relationships/hyperlink" Target="http://www.greenscreenchemicals.org/" TargetMode="External"/><Relationship Id="rId37" Type="http://schemas.openxmlformats.org/officeDocument/2006/relationships/hyperlink" Target="http://www.epa.gov/iaq/glossary.html" TargetMode="External"/><Relationship Id="rId38" Type="http://schemas.openxmlformats.org/officeDocument/2006/relationships/hyperlink" Target="http://www.epa.gov/iaq/glossary.html"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 Id="rId44" Type="http://schemas.microsoft.com/office/2011/relationships/commentsExtended" Target="commentsExtended.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CBAD8C-B417-274D-B2D7-0856B5E7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8326</Words>
  <Characters>47461</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SECTION 01 81 13 - SUSTAINABILITY REQUIREMENTS - INDOOR AIR QUALITY</vt:lpstr>
    </vt:vector>
  </TitlesOfParts>
  <Company>White + GreenSpec</Company>
  <LinksUpToDate>false</LinksUpToDate>
  <CharactersWithSpaces>55676</CharactersWithSpaces>
  <SharedDoc>false</SharedDoc>
  <HLinks>
    <vt:vector size="6" baseType="variant">
      <vt:variant>
        <vt:i4>5963776</vt:i4>
      </vt:variant>
      <vt:variant>
        <vt:i4>0</vt:i4>
      </vt:variant>
      <vt:variant>
        <vt:i4>0</vt:i4>
      </vt:variant>
      <vt:variant>
        <vt:i4>5</vt:i4>
      </vt:variant>
      <vt:variant>
        <vt:lpwstr>http://www.iasonline.org/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01 81 13 - SUSTAINABILITY REQUIREMENTS - INDOOR AIR QUALITY</dc:title>
  <dc:subject>SUSTAINABILITY REQUIREMENTS - INDOOR AIR QUALITY</dc:subject>
  <dc:creator>White + GreenSpec</dc:creator>
  <cp:keywords>BAS-13355-MS80</cp:keywords>
  <cp:lastModifiedBy>Andrew Persily</cp:lastModifiedBy>
  <cp:revision>10</cp:revision>
  <cp:lastPrinted>2014-12-02T16:21:00Z</cp:lastPrinted>
  <dcterms:created xsi:type="dcterms:W3CDTF">2014-12-02T16:20:00Z</dcterms:created>
  <dcterms:modified xsi:type="dcterms:W3CDTF">2014-12-19T17:26:00Z</dcterms:modified>
</cp:coreProperties>
</file>