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8">
      <w:pPr>
        <w:spacing w:after="0" w:before="0" w:line="2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09">
      <w:pPr>
        <w:pStyle w:val="Title"/>
        <w:spacing w:line="240" w:lineRule="auto"/>
        <w:rPr>
          <w:rFonts w:ascii="Helvetica Neue Light" w:cs="Helvetica Neue Light" w:eastAsia="Helvetica Neue Light" w:hAnsi="Helvetica Neue Light"/>
          <w:b w:val="0"/>
          <w:bCs w:val="0"/>
          <w:color w:val="5b7085"/>
          <w:sz w:val="72"/>
          <w:szCs w:val="72"/>
        </w:rPr>
      </w:pPr>
      <w:r>
        <w:rPr>
          <w:rFonts w:ascii="Helvetica Neue Light" w:cs="Helvetica Neue Light" w:eastAsia="Microsoft YaHei" w:hAnsi="Helvetica Neue Light"/>
          <w:b w:val="0"/>
          <w:bCs w:val="0"/>
          <w:color w:val="5b7085"/>
          <w:sz w:val="72"/>
          <w:szCs w:val="72"/>
          <w:rtl w:val="0"/>
        </w:rPr>
        <w:t xml:space="preserve">PingpongSystem</w:t>
      </w:r>
    </w:p>
    <w:p w14:paraId="0000000A">
      <w:pPr>
        <w:pStyle w:val="Title"/>
        <w:spacing w:line="240" w:lineRule="auto"/>
        <w:rPr>
          <w:rFonts w:ascii="Helvetica Neue" w:cs="Helvetica Neue" w:eastAsia="Helvetica Neue" w:hAnsi="Helvetica Neue"/>
          <w:sz w:val="72"/>
          <w:szCs w:val="72"/>
        </w:rPr>
      </w:pPr>
      <w:r>
        <w:rPr>
          <w:rFonts w:ascii="Helvetica Neue" w:cs="Helvetica Neue" w:eastAsia="Microsoft YaHei" w:hAnsi="Helvetica Neue"/>
          <w:sz w:val="72"/>
          <w:szCs w:val="72"/>
          <w:rtl w:val="0"/>
        </w:rPr>
        <w:t xml:space="preserve">开发交接与后续路线</w:t>
      </w:r>
    </w:p>
    <w:p w14:paraId="0000000B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0C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0D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0E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0F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10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11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12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13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14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tbl>
      <w:tblPr>
        <w:tblStyle w:val="Table1"/>
        <w:tblW w:w="10400.0" w:type="dxa"/>
        <w:jc w:val="center"/>
        <w:tblLayout w:type="fixed"/>
        <w:tblLook w:val="0600"/>
      </w:tblPr>
      <w:tblGrid>
        <w:gridCol w:w="3200"/>
        <w:gridCol w:w="400"/>
        <w:gridCol w:w="3200"/>
        <w:gridCol w:w="400"/>
        <w:gridCol w:w="3200"/>
        <w:tblGridChange w:id="0">
          <w:tblGrid>
            <w:gridCol w:w="3200"/>
            <w:gridCol w:w="400"/>
            <w:gridCol w:w="3200"/>
            <w:gridCol w:w="400"/>
            <w:gridCol w:w="3200"/>
          </w:tblGrid>
        </w:tblGridChange>
      </w:tblGrid>
      <w:tr>
        <w:trPr>
          <w:cantSplit w:val="0"/>
          <w:tblHeader w:val="0"/>
        </w:trPr>
        <w:tc>
          <w:tcPr/>
          <w:p w14:paraId="00000015">
            <w:pPr>
              <w:pStyle w:val="Heading3"/>
              <w:rPr/>
            </w:pPr>
            <w:r>
              <w:rPr>
                <w:rtl w:val="0"/>
                <w:rFonts w:eastAsia="Microsoft YaHei"/>
              </w:rPr>
              <w:t xml:space="preserve">状态</w:t>
            </w:r>
          </w:p>
          <w:p w14:paraId="00000016">
            <w:pPr>
              <w:spacing w:after="110" w:line="300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交接基线，非验收版</w:t>
            </w:r>
          </w:p>
        </w:tc>
        <w:tc>
          <w:tcPr/>
          <w:p w14:paraId="00000017">
            <w:pPr>
              <w:rPr>
                <w:rFonts w:ascii="Helvetica Neue" w:cs="Helvetica Neue" w:eastAsia="Helvetica Neue" w:hAnsi="Helvetica Neue"/>
              </w:rPr>
            </w:pPr>
            <w:r>
              <w:rPr>
                <w:rtl w:val="0"/>
                <w:rFonts w:eastAsia="Microsoft YaHei"/>
              </w:rPr>
              <w:t xml:space="preserve"/>
            </w:r>
          </w:p>
        </w:tc>
        <w:tc>
          <w:tcPr/>
          <w:p w14:paraId="00000018">
            <w:pPr>
              <w:pStyle w:val="Heading3"/>
              <w:rPr/>
            </w:pPr>
            <w:r>
              <w:rPr>
                <w:rtl w:val="0"/>
                <w:rFonts w:eastAsia="Microsoft YaHei"/>
              </w:rPr>
              <w:t xml:space="preserve">责任</w:t>
            </w:r>
          </w:p>
          <w:p w14:paraId="00000019">
            <w:pPr>
              <w:spacing w:after="110" w:line="300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前端 / 后端 / 集成</w:t>
            </w:r>
          </w:p>
        </w:tc>
        <w:tc>
          <w:tcPr/>
          <w:p w14:paraId="0000001A">
            <w:pPr>
              <w:rPr>
                <w:rFonts w:ascii="Helvetica Neue" w:cs="Helvetica Neue" w:eastAsia="Helvetica Neue" w:hAnsi="Helvetica Neue"/>
              </w:rPr>
            </w:pPr>
            <w:r>
              <w:rPr>
                <w:rtl w:val="0"/>
                <w:rFonts w:eastAsia="Microsoft YaHei"/>
              </w:rPr>
              <w:t xml:space="preserve"/>
            </w:r>
          </w:p>
        </w:tc>
        <w:tc>
          <w:tcPr/>
          <w:p w14:paraId="0000001B">
            <w:pPr>
              <w:pStyle w:val="Heading3"/>
              <w:rPr/>
            </w:pPr>
            <w:r>
              <w:rPr>
                <w:rtl w:val="0"/>
                <w:rFonts w:eastAsia="Microsoft YaHei"/>
              </w:rPr>
              <w:t xml:space="preserve">核查日期</w:t>
            </w:r>
          </w:p>
          <w:p w14:paraId="0000001C">
            <w:pPr>
              <w:spacing w:after="110" w:line="300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rtl w:val="0"/>
              </w:rPr>
              <w:t xml:space="preserve">2026-09-04</w:t>
            </w:r>
          </w:p>
        </w:tc>
      </w:tr>
    </w:tbl>
    <w:p w14:paraId="0000001D">
      <w:pPr>
        <w:spacing w:after="110" w:line="300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tbl>
      <w:tblPr>
        <w:tblStyle w:val="Table2"/>
        <w:tblW w:w="10155.0" w:type="dxa"/>
        <w:jc w:val="center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400"/>
      </w:tblPr>
      <w:tblGrid>
        <w:gridCol w:w="1815"/>
        <w:gridCol w:w="8340"/>
        <w:tblGridChange w:id="0">
          <w:tblGrid>
            <w:gridCol w:w="1815"/>
            <w:gridCol w:w="8340"/>
          </w:tblGrid>
        </w:tblGridChange>
      </w:tblGrid>
      <w:tr>
        <w:trPr>
          <w:cantSplit w:val="1"/>
          <w:tblHeader w:val="0"/>
        </w:trPr>
        <w:tc>
          <w:tcPr>
            <w:shd w:fill="cfe2f3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1E">
            <w:pPr>
              <w:spacing w:after="25" w:before="20" w:line="285" w:lineRule="auto"/>
              <w:rPr>
                <w:rFonts w:ascii="Helvetica Neue" w:cs="Helvetica Neue" w:eastAsia="Helvetica Neue" w:hAnsi="Helvetica Neue"/>
                <w:color w:val="000000"/>
              </w:rPr>
            </w:pPr>
            <w:r>
              <w:rPr>
                <w:rFonts w:ascii="Helvetica Neue" w:cs="Helvetica Neue" w:eastAsia="Microsoft YaHei" w:hAnsi="Helvetica Neue"/>
                <w:b w:val="1"/>
                <w:bCs w:val="1"/>
                <w:color w:val="000000"/>
                <w:rtl w:val="0"/>
              </w:rPr>
              <w:t xml:space="preserve">业务基线</w:t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1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09c09e8；本轮不改业务代码</w:t>
            </w:r>
          </w:p>
        </w:tc>
      </w:tr>
      <w:tr>
        <w:trPr>
          <w:cantSplit w:val="1"/>
          <w:trHeight w:val="404.3103027343749" w:hRule="atLeast"/>
          <w:tblHeader w:val="0"/>
        </w:trPr>
        <w:tc>
          <w:tcPr>
            <w:shd w:fill="cfe2f3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0">
            <w:pPr>
              <w:spacing w:after="25" w:before="20" w:line="285" w:lineRule="auto"/>
              <w:rPr>
                <w:rFonts w:ascii="Helvetica Neue" w:cs="Helvetica Neue" w:eastAsia="Helvetica Neue" w:hAnsi="Helvetica Neue"/>
                <w:color w:val="000000"/>
              </w:rPr>
            </w:pPr>
            <w:r>
              <w:rPr>
                <w:rFonts w:ascii="Helvetica Neue" w:cs="Helvetica Neue" w:eastAsia="Microsoft YaHei" w:hAnsi="Helvetica Neue"/>
                <w:b w:val="1"/>
                <w:bCs w:val="1"/>
                <w:color w:val="000000"/>
                <w:rtl w:val="0"/>
              </w:rPr>
              <w:t xml:space="preserve">读者</w:t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前端开发者、后端队友、集成复核人</w:t>
            </w:r>
          </w:p>
        </w:tc>
      </w:tr>
      <w:tr>
        <w:trPr>
          <w:cantSplit w:val="1"/>
          <w:tblHeader w:val="0"/>
        </w:trPr>
        <w:tc>
          <w:tcPr>
            <w:shd w:fill="cfe2f3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2">
            <w:pPr>
              <w:spacing w:after="25" w:before="20" w:line="285" w:lineRule="auto"/>
              <w:rPr>
                <w:rFonts w:ascii="Helvetica Neue" w:cs="Helvetica Neue" w:eastAsia="Helvetica Neue" w:hAnsi="Helvetica Neue"/>
                <w:color w:val="000000"/>
              </w:rPr>
            </w:pPr>
            <w:r>
              <w:rPr>
                <w:rFonts w:ascii="Helvetica Neue" w:cs="Helvetica Neue" w:eastAsia="Microsoft YaHei" w:hAnsi="Helvetica Neue"/>
                <w:b w:val="1"/>
                <w:bCs w:val="1"/>
                <w:color w:val="000000"/>
                <w:rtl w:val="0"/>
              </w:rPr>
              <w:t xml:space="preserve">详细材料</w:t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HANDOFF.md / V02_COMPARISON.md / DEVELOPMENT_ROADMAP.md</w:t>
            </w:r>
          </w:p>
        </w:tc>
      </w:tr>
      <w:tr>
        <w:trPr>
          <w:cantSplit w:val="1"/>
          <w:tblHeader w:val="0"/>
        </w:trPr>
        <w:tc>
          <w:tcPr>
            <w:shd w:fill="cfe2f3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4">
            <w:pPr>
              <w:spacing w:after="25" w:before="20" w:line="285" w:lineRule="auto"/>
              <w:rPr>
                <w:rFonts w:ascii="Helvetica Neue" w:cs="Helvetica Neue" w:eastAsia="Helvetica Neue" w:hAnsi="Helvetica Neue"/>
                <w:color w:val="000000"/>
              </w:rPr>
            </w:pPr>
            <w:r>
              <w:rPr>
                <w:rFonts w:ascii="Helvetica Neue" w:cs="Helvetica Neue" w:eastAsia="Microsoft YaHei" w:hAnsi="Helvetica Neue"/>
                <w:b w:val="1"/>
                <w:bCs w:val="1"/>
                <w:color w:val="000000"/>
                <w:rtl w:val="0"/>
              </w:rPr>
              <w:t xml:space="preserve">本轮范围</w:t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核查最新代码、交接说明、路线与 GitHub 同步</w:t>
            </w:r>
          </w:p>
        </w:tc>
      </w:tr>
    </w:tbl>
    <w:p w14:paraId="00000026">
      <w:pPr>
        <w:pStyle w:val="Heading1"/>
        <w:pBdr>
          <w:top w:color="2f6b9a" w:space="2" w:sz="0" w:val="none"/>
          <w:left w:color="2f6b9a" w:space="2" w:sz="0" w:val="none"/>
          <w:bottom w:color="2f6b9a" w:space="2" w:sz="0" w:val="none"/>
          <w:right w:color="2f6b9a" w:space="2" w:sz="0" w:val="none"/>
        </w:pBdr>
        <w:spacing w:after="130" w:before="0" w:line="285" w:lineRule="auto"/>
        <w:rPr>
          <w:rFonts w:ascii="Helvetica Neue" w:cs="Helvetica Neue" w:eastAsia="Helvetica Neue" w:hAnsi="Helvetica Neue"/>
          <w:color w:val="000000"/>
        </w:rPr>
      </w:pPr>
      <w:r>
        <w:rPr>
          <w:rFonts w:ascii="Helvetica Neue" w:cs="Helvetica Neue" w:eastAsia="Microsoft YaHei" w:hAnsi="Helvetica Neue"/>
          <w:color w:val="082a4a"/>
          <w:rtl w:val="0"/>
        </w:rPr>
        <w:t xml:space="preserve">1.  结论与阅读指引</w:t>
      </w:r>
    </w:p>
    <w:p w14:paraId="00000027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Microsoft YaHei" w:hAnsi="Helvetica Neue"/>
          <w:color w:val="233447"/>
          <w:rtl w:val="0"/>
        </w:rPr>
        <w:t xml:space="preserve">当前已具备报名、分组、比赛、排名、淘汰、季军/排位和冠军展示的主要链路。正式开发只使用 pingpong_plantform；旧 teammate-draft 为副本，frontend-demo 为视觉原型。核查基线为 09c09e8，本轮仅增加交接文档，不改业务逻辑。</w:t>
      </w:r>
    </w:p>
    <w:p w14:paraId="00000028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Microsoft YaHei" w:hAnsi="Helvetica Neue"/>
          <w:color w:val="233447"/>
          <w:rtl w:val="0"/>
        </w:rPr>
        <w:t xml:space="preserve">这是一份待联调 Demo 的交接报告，不是现场验收证书。优先解决比分校验、改分依赖、不等额出线与同分裁定，再完善秩序册、规模验证和现场体验。详细证据和逐项对比见 docs 下三份 Markdown；Word 用于快速建立共同理解。</w:t>
      </w:r>
    </w:p>
    <w:p w14:paraId="00000029">
      <w:pPr>
        <w:spacing w:after="0" w:line="120" w:lineRule="auto"/>
        <w:jc w:val="both"/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2A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Microsoft YaHei" w:hAnsi="Helvetica Neue"/>
          <w:rtl w:val="0"/>
        </w:rPr>
        <w:t xml:space="preserve">2.  已确认目标与边界</w:t>
      </w:r>
    </w:p>
    <w:tbl>
      <w:tblPr>
        <w:tblStyle w:val="Table3"/>
        <w:tblW w:w="10224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B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1"/>
                <w:bCs w:val="1"/>
                <w:color w:val="ffffff"/>
                <w:rtl w:val="0"/>
              </w:rPr>
              <w:t xml:space="preserve">本轮保留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C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1"/>
                <w:bCs w:val="1"/>
                <w:color w:val="ffffff"/>
                <w:rtl w:val="0"/>
              </w:rPr>
              <w:t xml:space="preserve">明确边界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真实后端全流程、单打/双打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不重写框架；不做完整团体赛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默认三局两胜、11 分、大比分为主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3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小分在小组按需补；不是每场强制录入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3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季军赛或并列季军；低名次排位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3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双败已取消；5–8 完整排位有范围限制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3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可调出线、名单动画、冠军展示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34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异额出线和精确晋级连线还需完善</w:t>
            </w:r>
          </w:p>
        </w:tc>
      </w:tr>
    </w:tbl>
    <w:p w14:paraId="00000035">
      <w:pPr>
        <w:pStyle w:val="Heading1"/>
        <w:spacing w:before="0" w:line="216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36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Microsoft YaHei" w:hAnsi="Helvetica Neue"/>
          <w:rtl w:val="0"/>
        </w:rPr>
        <w:t xml:space="preserve">3.  当前基线与 V0.2 的关系</w:t>
      </w:r>
    </w:p>
    <w:p w14:paraId="00000037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Microsoft YaHei" w:hAnsi="Helvetica Neue"/>
          <w:color w:val="233447"/>
          <w:rtl w:val="0"/>
        </w:rPr>
        <w:t xml:space="preserve">V0.2 文件夹包含需求讨论稿和工程初稿，原稿明确标记 DRAFT。原要求含双败、逐局录分、120 人/15 台、通用赛事阶段、场地区域与计划时间。用户后续取消双败，将双打提前，并改为大比分优先、小组按需补小分；这些属于需求调整，不应计为漏做。</w:t>
      </w:r>
    </w:p>
    <w:p w14:paraId="00000038">
      <w:pPr>
        <w:spacing w:after="110" w:line="300" w:lineRule="auto"/>
        <w:jc w:val="both"/>
        <w:rPr>
          <w:rFonts w:ascii="Helvetica Neue" w:cs="Helvetica Neue" w:eastAsia="Helvetica Neue" w:hAnsi="Helvetica Neue"/>
          <w:color w:val="000000"/>
        </w:rPr>
      </w:pPr>
      <w:r>
        <w:rPr>
          <w:rFonts w:ascii="Helvetica Neue" w:cs="Helvetica Neue" w:eastAsia="Microsoft YaHei" w:hAnsi="Helvetica Neue"/>
          <w:color w:val="233447"/>
          <w:rtl w:val="0"/>
        </w:rPr>
        <w:t xml:space="preserve">两份当前代码副本在交接前有 95 个源码/配置/文档文件一致，数据库与依赖不在比较范围。GitHub 仓库为 Common-Kingfisher/PingpongSystem，业务基线 09c09e8。前端包和 FastAPI 版本仍标 0.1.0；V0.2 是对比目标，不能由名称推断验收完成。</w:t>
      </w:r>
    </w:p>
    <w:p w14:paraId="00000039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Microsoft YaHei" w:hAnsi="Helvetica Neue"/>
          <w:rtl w:val="0"/>
        </w:rPr>
        <w:t xml:space="preserve">4.  现有系统与模块分工</w:t>
      </w:r>
    </w:p>
    <w:p w14:paraId="0000003A">
      <w:pPr>
        <w:spacing w:after="0" w:line="144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3B">
      <w:pPr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</w:rPr>
      </w:r>
      <w:r>
        <w:rPr>
          <w:rtl w:val="0"/>
        </w:rPr>
      </w:r>
    </w:p>
    <w:p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color w:val="082a4a"/>
        </w:rPr>
      </w:pPr>
      <w:r>
        <w:rPr>
          <w:rFonts w:ascii="Helvetica Neue" w:cs="Helvetica Neue" w:eastAsia="Microsoft YaHei" w:hAnsi="Helvetica Neue"/>
          <w:color w:val="082a4a"/>
          <w:rtl w:val="0"/>
        </w:rPr>
        <w:t xml:space="preserve">数据流：页面/组件 → api.ts → FastAPI 路由 → 服务/领域算法 → repository → SQLite。UI 发操作和展示结果，不独立计算晋级或覆盖后端排名。</w:t>
      </w:r>
    </w:p>
    <w:p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color w:val="082a4a"/>
        </w:rPr>
      </w:pPr>
      <w:r>
        <w:rPr>
          <w:rtl w:val="0"/>
        </w:rPr>
      </w:r>
    </w:p>
    <w:p w14:paraId="0000003E">
      <w:pPr>
        <w:pStyle w:val="Heading3"/>
        <w:spacing w:after="90" w:line="280" w:lineRule="auto"/>
        <w:rPr/>
      </w:pPr>
      <w:r>
        <w:rPr>
          <w:rtl w:val="0"/>
          <w:rFonts w:eastAsia="Microsoft YaHei"/>
        </w:rPr>
        <w:t xml:space="preserve">模块与接手位置</w:t>
      </w:r>
    </w:p>
    <w:p w14:paraId="0000003F">
      <w:pPr>
        <w:spacing w:after="0" w:before="20" w:line="240" w:lineRule="auto"/>
        <w:rPr>
          <w:rFonts w:ascii="Helvetica Neue" w:cs="Helvetica Neue" w:eastAsia="Helvetica Neue" w:hAnsi="Helvetica Neue"/>
          <w:sz w:val="16"/>
          <w:szCs w:val="16"/>
        </w:rPr>
      </w:pPr>
      <w:r>
        <w:rPr>
          <w:rtl w:val="0"/>
        </w:rPr>
      </w:r>
    </w:p>
    <w:tbl>
      <w:tblPr>
        <w:tblStyle w:val="Table4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2268"/>
        <w:gridCol w:w="3164"/>
        <w:gridCol w:w="2374"/>
        <w:gridCol w:w="2634"/>
        <w:tblGridChange w:id="0">
          <w:tblGrid>
            <w:gridCol w:w="2268"/>
            <w:gridCol w:w="3164"/>
            <w:gridCol w:w="2374"/>
            <w:gridCol w:w="2634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0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1"/>
                <w:bCs w:val="1"/>
                <w:color w:val="ffffff"/>
                <w:rtl w:val="0"/>
              </w:rPr>
              <w:t xml:space="preserve">模块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1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1"/>
                <w:bCs w:val="1"/>
                <w:color w:val="ffffff"/>
                <w:rtl w:val="0"/>
              </w:rPr>
              <w:t xml:space="preserve">已有能力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2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1"/>
                <w:bCs w:val="1"/>
                <w:color w:val="ffffff"/>
                <w:rtl w:val="0"/>
              </w:rPr>
              <w:t xml:space="preserve">主要入口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3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1"/>
                <w:bCs w:val="1"/>
                <w:color w:val="ffffff"/>
                <w:rtl w:val="0"/>
              </w:rPr>
              <w:t xml:space="preserve">边界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4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名单/分组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导入预览、种子、确认、配对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6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PlayersPage / entries / groups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7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异额出线下游受限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8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控制台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真实球台、排台、下台、改分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ConsolePage / LiveTableCard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无休息/区域调度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C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比分/排名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大比分、弃权、小分补录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ScoreSheet / scores / ranking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校验/同分有 P0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淘汰/结果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主签、季军、8 人排位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KnockoutPage / knockout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败者来源保护不足</w:t>
            </w:r>
          </w:p>
        </w:tc>
      </w:tr>
      <w:tr>
        <w:trPr>
          <w:cantSplit w:val="1"/>
          <w:trHeight w:val="58" w:hRule="atLeast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4">
            <w:pPr>
              <w:spacing w:after="25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展示/输出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5">
            <w:pPr>
              <w:spacing w:after="25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大屏、冠军路径、打印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6">
            <w:pPr>
              <w:spacing w:after="25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ChampionJourney / OrderBook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7">
            <w:pPr>
              <w:spacing w:after="25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打印前 40 场截断</w:t>
            </w:r>
          </w:p>
        </w:tc>
      </w:tr>
    </w:tbl>
    <w:p w14:paraId="00000058">
      <w:pPr>
        <w:pStyle w:val="Heading1"/>
        <w:spacing w:before="0" w:line="12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59">
      <w:pPr>
        <w:pStyle w:val="Heading1"/>
        <w:spacing w:before="0" w:line="12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5A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Microsoft YaHei" w:hAnsi="Helvetica Neue"/>
          <w:rtl w:val="0"/>
        </w:rPr>
        <w:t xml:space="preserve">5.  启动与一次完整演示</w:t>
      </w:r>
    </w:p>
    <w:p w14:paraId="0000005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Microsoft YaHei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在新目录执行 git clone https://github.com/Common-Kingfisher/PingpongSystem.git，再 cd PingpongSystem。clone 后这个目录就是仓库根，不需要再进入 pingpong_plantform。</w:t>
      </w:r>
    </w:p>
    <w:p w14:paraId="0000005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Microsoft YaHei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准备 Python 3.10+、Node.js、pnpm。从仓库根执行 python -m venv backend/.venv，再用该环境的 python -m pip install -r backend/requirements.txt 安装后端依赖。</w:t>
      </w:r>
    </w:p>
    <w:p w14:paraId="0000005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Microsoft YaHei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前端执行 pnpm -C frontend install --frozen-lockfile。依赖不可从压缩包或旧目录直接复制；node_modules 目录存在不代表符号链接有效。</w:t>
      </w:r>
    </w:p>
    <w:p w14:paraId="0000005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Microsoft YaHei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终端一运行 backend/.venv/Scripts/python.exe -m uvicorn app.main:app --app-dir backend --port 8000；终端二运行 pnpm -C frontend dev。浏览器打开 http://localhost:5173。</w:t>
      </w:r>
    </w:p>
    <w:p w14:paraId="0000005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Microsoft YaHei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单打演示建议：16 人、4 组、各前 2、4 台、季军赛、完整排位。使用 docs/demo-data 的虚构名单，确认名单后抽签生成比赛；依次排台和录入 2:0/2:1，查看排名。</w:t>
      </w:r>
    </w:p>
    <w:p w14:paraId="0000006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Microsoft YaHei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所有小组结束且出线明确后生成淘汰赛；八强首轮产生 5–8 排位；半决赛后产生季军赛。主签和所有排位结束后看冠军之路与秩序册。当前演示保持各组一致出线数，不在真实赛事上试验改分风险。</w:t>
      </w:r>
    </w:p>
    <w:p w14:paraId="0000006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Microsoft YaHei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双打另建 8 或 16 名运动员的赛事：8 人只有 4 个 Entry。数据库为 backend/data/demo.db，停止服务后再备份。端口占用先识别已有进程，不盲目结束全部 Python/Node。</w:t>
      </w:r>
    </w:p>
    <w:p w14:paraId="00000062">
      <w:pPr>
        <w:pStyle w:val="Heading1"/>
        <w:spacing w:before="0" w:line="168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63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Microsoft YaHei" w:hAnsi="Helvetica Neue"/>
          <w:rtl w:val="0"/>
        </w:rPr>
        <w:t xml:space="preserve">6.  接口与数据合同</w:t>
      </w:r>
    </w:p>
    <w:p w14:paraId="00000064">
      <w:pPr>
        <w:pStyle w:val="Heading3"/>
        <w:spacing w:after="90" w:line="280" w:lineRule="auto"/>
        <w:rPr/>
      </w:pPr>
      <w:r>
        <w:rPr>
          <w:rtl w:val="0"/>
          <w:rFonts w:eastAsia="Microsoft YaHei"/>
        </w:rPr>
        <w:t xml:space="preserve">关键字段含义</w:t>
      </w:r>
    </w:p>
    <w:p w14:paraId="00000065">
      <w:pPr>
        <w:spacing w:after="0" w:line="192" w:lineRule="auto"/>
        <w:rPr>
          <w:rFonts w:ascii="Helvetica Neue" w:cs="Helvetica Neue" w:eastAsia="Helvetica Neue" w:hAnsi="Helvetica Neue"/>
          <w:sz w:val="16"/>
          <w:szCs w:val="16"/>
        </w:rPr>
      </w:pPr>
      <w:r>
        <w:rPr>
          <w:rtl w:val="0"/>
        </w:rPr>
      </w:r>
    </w:p>
    <w:tbl>
      <w:tblPr>
        <w:tblStyle w:val="Table5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2344"/>
        <w:gridCol w:w="1921"/>
        <w:gridCol w:w="1873"/>
        <w:gridCol w:w="4302"/>
        <w:tblGridChange w:id="0">
          <w:tblGrid>
            <w:gridCol w:w="2344"/>
            <w:gridCol w:w="1921"/>
            <w:gridCol w:w="1873"/>
            <w:gridCol w:w="4302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6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1"/>
                <w:bCs w:val="1"/>
                <w:color w:val="ffffff"/>
                <w:rtl w:val="0"/>
              </w:rPr>
              <w:t xml:space="preserve">字段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7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1"/>
                <w:bCs w:val="1"/>
                <w:color w:val="ffffff"/>
                <w:rtl w:val="0"/>
              </w:rPr>
              <w:t xml:space="preserve">类型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8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1"/>
                <w:bCs w:val="1"/>
                <w:color w:val="ffffff"/>
                <w:rtl w:val="0"/>
              </w:rPr>
              <w:t xml:space="preserve">来源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9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1"/>
                <w:bCs w:val="1"/>
                <w:color w:val="ffffff"/>
                <w:rtl w:val="0"/>
              </w:rPr>
              <w:t xml:space="preserve">接手注意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Entry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参赛实体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C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entries / members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单打 1 人、双打 2 人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entry_a/b_id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ID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Match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对阵双方，不是自然人 ID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player_a/b_score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整数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4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Match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保留旧命名的大比分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6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games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7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单局数组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8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MatchGame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缺失不等于得 0 分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result_type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枚举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C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Match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正常与弃权等分开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qualify_count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可空整数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8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Group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8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覆盖赛事默认值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8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bronze_mode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8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枚举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84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Tournament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8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季军赛或并列季军</w:t>
            </w:r>
          </w:p>
        </w:tc>
      </w:tr>
    </w:tbl>
    <w:p w14:paraId="00000086">
      <w:pPr>
        <w:spacing w:after="0" w:line="192" w:lineRule="auto"/>
        <w:rPr>
          <w:rFonts w:ascii="Helvetica Neue" w:cs="Helvetica Neue" w:eastAsia="Helvetica Neue" w:hAnsi="Helvetica Neue"/>
          <w:sz w:val="16"/>
          <w:szCs w:val="16"/>
        </w:rPr>
      </w:pPr>
      <w:r>
        <w:rPr>
          <w:rtl w:val="0"/>
        </w:rPr>
      </w:r>
    </w:p>
    <w:p w14:paraId="00000087">
      <w:pPr>
        <w:pStyle w:val="Heading3"/>
        <w:spacing w:after="90" w:line="280" w:lineRule="auto"/>
        <w:rPr/>
      </w:pPr>
      <w:r>
        <w:rPr>
          <w:rtl w:val="0"/>
          <w:rFonts w:eastAsia="Microsoft YaHei"/>
        </w:rPr>
        <w:t xml:space="preserve">兼容与规则注意事项</w:t>
      </w:r>
    </w:p>
    <w:p w14:paraId="00000088">
      <w:pPr>
        <w:spacing w:after="0" w:line="192" w:lineRule="auto"/>
        <w:rPr>
          <w:rFonts w:ascii="Helvetica Neue" w:cs="Helvetica Neue" w:eastAsia="Helvetica Neue" w:hAnsi="Helvetica Neue"/>
          <w:sz w:val="16"/>
          <w:szCs w:val="16"/>
        </w:rPr>
      </w:pPr>
      <w:r>
        <w:rPr>
          <w:rtl w:val="0"/>
        </w:rPr>
      </w:r>
    </w:p>
    <w:p w14:paraId="000000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72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Microsoft YaHei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排名已确认前缀：胜场 → 净胜局 → 赛事积分。当前实现继续以两人直接交锋、多人相关小分比率处理；完整末级与弃权规则仍需组织者审核，不宣称已完整符合 ITTF 官方算法。</w:t>
      </w:r>
    </w:p>
    <w:p w14:paraId="000000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72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Microsoft YaHei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运动员 rating_points 是配对参考；match_points 是赛事积分；最终名次由淘汰/排位比赛决定。这三者不得混用。双打配对是在近积分候选中随机，不是强弱搭配。</w:t>
      </w:r>
    </w:p>
    <w:p w14:paraId="000000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72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Microsoft YaHei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比赛优先使用 Entry ID。部分旧响应字段仍叫 player_id、player_a.id 或 winner_id，却可能承载 Entry ID；不要将自然人和组合 ID 互换。</w:t>
      </w:r>
    </w:p>
    <w:p w14:paraId="000000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72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Microsoft YaHei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大比分修改会清除旧小分；小组补小分当前复用 revise-score。后续应拆清“仅补充”与“改变比赛结果”的校验和下游保护。</w:t>
      </w:r>
    </w:p>
    <w:p w14:paraId="0000008D">
      <w:pPr>
        <w:spacing w:after="110" w:line="300" w:lineRule="auto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Microsoft YaHei" w:hAnsi="Helvetica Neue"/>
          <w:color w:val="233447"/>
          <w:rtl w:val="0"/>
        </w:rPr>
        <w:t xml:space="preserve">契约源：backend/app/schemas.py；数据库结构：backend/app/db.py。</w:t>
      </w:r>
    </w:p>
    <w:p w14:paraId="0000008E">
      <w:pPr>
        <w:spacing w:after="110" w:line="300" w:lineRule="auto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Microsoft YaHei" w:hAnsi="Helvetica Neue"/>
          <w:color w:val="233447"/>
          <w:rtl w:val="0"/>
        </w:rPr>
        <w:t xml:space="preserve">快照：docs/openapi-v0.2.json，本轮与 app.openapi() 一致。frontend/src/api.ts 仍为手写类型；自动生成 TS 与 CI 漂移检查尚未完成。</w:t>
      </w:r>
    </w:p>
    <w:p w14:paraId="0000008F">
      <w:pPr>
        <w:pStyle w:val="Heading1"/>
        <w:spacing w:before="0" w:line="12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90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Microsoft YaHei" w:hAnsi="Helvetica Neue"/>
          <w:rtl w:val="0"/>
        </w:rPr>
        <w:t xml:space="preserve">7.  优先风险与复现结果</w:t>
      </w:r>
    </w:p>
    <w:p w14:paraId="00000091">
      <w:pPr>
        <w:spacing w:after="0" w:line="96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92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Microsoft YaHei" w:hAnsi="Helvetica Neue"/>
          <w:color w:val="233447"/>
          <w:rtl w:val="0"/>
        </w:rPr>
        <w:t xml:space="preserve">以下反例来自正式目录源码与临时数据库诊断，未触碰真实比赛库。现有 157 项测试通过仍没有覆盖这些反例。修复前不能因页面能演示就宣布可用于正式赛场；完整复现位置、验收条件与 P0/P1 分级见 DEVELOPMENT_ROADMAP.md。</w:t>
      </w:r>
    </w:p>
    <w:tbl>
      <w:tblPr>
        <w:tblStyle w:val="Table6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3337"/>
        <w:gridCol w:w="3722"/>
        <w:gridCol w:w="3381"/>
        <w:tblGridChange w:id="0">
          <w:tblGrid>
            <w:gridCol w:w="3337"/>
            <w:gridCol w:w="3722"/>
            <w:gridCol w:w="3381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3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1"/>
                <w:bCs w:val="1"/>
                <w:color w:val="ffffff"/>
                <w:rtl w:val="0"/>
              </w:rPr>
              <w:t xml:space="preserve">问题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4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1"/>
                <w:bCs w:val="1"/>
                <w:color w:val="ffffff"/>
                <w:rtl w:val="0"/>
              </w:rPr>
              <w:t xml:space="preserve">本轮证据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5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1"/>
                <w:bCs w:val="1"/>
                <w:color w:val="ffffff"/>
                <w:rtl w:val="0"/>
              </w:rPr>
              <w:t xml:space="preserve">处理目标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6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R01 比分校验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7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99:0 与两局 12:5 被校验接受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8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服务端验证局制和合法终局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R02 下游保护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改半决赛后季军参赛者不变；小组可在淘汰生成后改分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统一主签/季军/排位依赖保护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C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R03 异额出线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[[1],[2,3]] 签表生成报人数不一致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支持配置到终局，不只保存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R04 同分裁定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A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部分同率仍整桶并列，无裁定留痕闭环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A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先确认规程，再补算法/留痕</w:t>
            </w:r>
          </w:p>
        </w:tc>
      </w:tr>
    </w:tbl>
    <w:p w14:paraId="000000A2">
      <w:pPr>
        <w:pStyle w:val="Heading1"/>
        <w:spacing w:before="0" w:line="269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A3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Microsoft YaHei" w:hAnsi="Helvetica Neue"/>
          <w:rtl w:val="0"/>
        </w:rPr>
        <w:t xml:space="preserve">8.  数据安全与可恢复性</w:t>
      </w:r>
    </w:p>
    <w:p w14:paraId="000000A4">
      <w:pPr>
        <w:spacing w:after="0" w:line="96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A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Microsoft YaHei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当前无登录/RBAC，适用于受控本地 Demo；上传 GitHub 不等于完成部署，不应直接把未鉴权服务暴露到公网。</w:t>
      </w:r>
    </w:p>
    <w:p w14:paraId="000000A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Microsoft YaHei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不上传真实参赛名单、数据库、.env、密钥、node_modules、.venv 或 .pnpm-store。仓库只保留源码、锁文件、文档与虚构示例。</w:t>
      </w:r>
    </w:p>
    <w:p w14:paraId="000000A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Microsoft YaHei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本轮检查 21 个历史提交，未发现已跟踪依赖/数据库/私钥路径或常见 Token 特征；这不是完整安全审计。GitHub 登录应通过正常凭证流程，不在文档写入密码或 Token。</w:t>
      </w:r>
    </w:p>
    <w:p w14:paraId="000000A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Microsoft YaHei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db.init_db 仍会在启动时检查列并 ALTER，与 V0.2 工程稿的显式迁移要求不同。升级前备份、迁移版本和恢复演练应在现场交付前补齐。</w:t>
      </w:r>
    </w:p>
    <w:p w14:paraId="000000A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Microsoft YaHei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建议保存可回滚的源码提交与独立数据库备份。后端依赖当前未完全锁定，并发录分与排台原子性未专项验证，列为发布门槛。</w:t>
      </w:r>
    </w:p>
    <w:p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2" w:lineRule="auto"/>
        <w:ind w:left="0" w:right="0" w:firstLine="0"/>
        <w:jc w:val="both"/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1e252e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2" w:lineRule="auto"/>
        <w:ind w:left="0" w:right="0" w:firstLine="0"/>
        <w:jc w:val="both"/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1e252e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14:paraId="000000AC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Microsoft YaHei" w:hAnsi="Helvetica Neue"/>
          <w:rtl w:val="0"/>
        </w:rPr>
        <w:t xml:space="preserve">9.  本轮验证与未验范围</w:t>
      </w:r>
    </w:p>
    <w:tbl>
      <w:tblPr>
        <w:tblStyle w:val="Table7"/>
        <w:tblW w:w="10440.0" w:type="dxa"/>
        <w:jc w:val="center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400"/>
      </w:tblPr>
      <w:tblGrid>
        <w:gridCol w:w="2268"/>
        <w:gridCol w:w="3521"/>
        <w:gridCol w:w="2306"/>
        <w:gridCol w:w="2345"/>
        <w:tblGridChange w:id="0">
          <w:tblGrid>
            <w:gridCol w:w="2268"/>
            <w:gridCol w:w="3521"/>
            <w:gridCol w:w="2306"/>
            <w:gridCol w:w="2345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AD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1"/>
                <w:bCs w:val="1"/>
                <w:color w:val="ffffff"/>
                <w:rtl w:val="0"/>
              </w:rPr>
              <w:t xml:space="preserve">检查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AE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1"/>
                <w:bCs w:val="1"/>
                <w:color w:val="ffffff"/>
                <w:rtl w:val="0"/>
              </w:rPr>
              <w:t xml:space="preserve">结果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AF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1"/>
                <w:bCs w:val="1"/>
                <w:color w:val="ffffff"/>
                <w:rtl w:val="0"/>
              </w:rPr>
              <w:t xml:space="preserve">证据范围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0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结论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后端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157 项现有测试通过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正式目录代码；临时库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4">
            <w:pPr>
              <w:spacing w:after="25" w:before="20" w:line="285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>
              <w:rPr>
                <w:rFonts w:ascii="Helvetica Neue" w:cs="Helvetica Neue" w:eastAsia="Microsoft YaHei" w:hAnsi="Helvetica Neue"/>
                <w:color w:val="233447"/>
                <w:sz w:val="16"/>
                <w:szCs w:val="16"/>
                <w:rtl w:val="0"/>
              </w:rPr>
              <w:t xml:space="preserve">非所有规则已正确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前端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6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tsc + Vite build 通过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7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50 modules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8">
            <w:pPr>
              <w:spacing w:after="25" w:before="20" w:line="285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>
              <w:rPr>
                <w:rFonts w:ascii="Helvetica Neue" w:cs="Helvetica Neue" w:eastAsia="Microsoft YaHei" w:hAnsi="Helvetica Neue"/>
                <w:color w:val="233447"/>
                <w:sz w:val="16"/>
                <w:szCs w:val="16"/>
                <w:rtl w:val="0"/>
              </w:rPr>
              <w:t xml:space="preserve">构建可通过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OpenAPI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快照与应用一致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当前结构比较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C">
            <w:pPr>
              <w:spacing w:after="25" w:before="20" w:line="285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>
              <w:rPr>
                <w:rFonts w:ascii="Helvetica Neue" w:cs="Helvetica Neue" w:eastAsia="Microsoft YaHei" w:hAnsi="Helvetica Neue"/>
                <w:color w:val="233447"/>
                <w:sz w:val="16"/>
                <w:szCs w:val="16"/>
                <w:rtl w:val="0"/>
              </w:rPr>
              <w:t xml:space="preserve">TS 仍手写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隔离诊断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4 类关键问题确认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函数与临时库 API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0">
            <w:pPr>
              <w:spacing w:after="25" w:before="20" w:line="285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>
              <w:rPr>
                <w:rFonts w:ascii="Helvetica Neue" w:cs="Helvetica Neue" w:eastAsia="Microsoft YaHei" w:hAnsi="Helvetica Neue"/>
                <w:color w:val="233447"/>
                <w:sz w:val="16"/>
                <w:szCs w:val="16"/>
                <w:rtl w:val="0"/>
              </w:rPr>
              <w:t xml:space="preserve">需要新增回归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未验部分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120/15、浏览器全程、并发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本轮未执行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4">
            <w:pPr>
              <w:spacing w:after="25" w:before="20" w:line="285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>
              <w:rPr>
                <w:rFonts w:ascii="Helvetica Neue" w:cs="Helvetica Neue" w:eastAsia="Microsoft YaHei" w:hAnsi="Helvetica Neue"/>
                <w:color w:val="233447"/>
                <w:sz w:val="16"/>
                <w:szCs w:val="16"/>
                <w:rtl w:val="0"/>
              </w:rPr>
              <w:t xml:space="preserve">不宣称现场通过</w:t>
            </w:r>
          </w:p>
        </w:tc>
      </w:tr>
      <w:tr>
        <w:trPr>
          <w:cantSplit w:val="1"/>
          <w:tblHeader w:val="0"/>
        </w:trPr>
        <w:tc>
          <w:tcPr>
            <w:gridSpan w:val="4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082a4a"/>
                <w:rtl w:val="0"/>
              </w:rPr>
              <w:t xml:space="preserve">Word 使用系统设计模板；结构已检查，因缺少 LibreOffice 未完成逐页渲染视觉验收。</w:t>
            </w:r>
          </w:p>
        </w:tc>
      </w:tr>
    </w:tbl>
    <w:p w14:paraId="000000C9">
      <w:pPr>
        <w:pStyle w:val="Heading1"/>
        <w:spacing w:before="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CA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Microsoft YaHei" w:hAnsi="Helvetica Neue"/>
          <w:rtl w:val="0"/>
        </w:rPr>
        <w:t xml:space="preserve">10.  与 V0.2 的核心差异</w:t>
      </w:r>
    </w:p>
    <w:p w14:paraId="000000CB">
      <w:pPr>
        <w:spacing w:after="0" w:line="14.399999999999999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CC">
      <w:pPr>
        <w:spacing w:after="0" w:line="192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tbl>
      <w:tblPr>
        <w:tblStyle w:val="Table8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3303"/>
        <w:gridCol w:w="3313"/>
        <w:gridCol w:w="3824"/>
        <w:tblGridChange w:id="0">
          <w:tblGrid>
            <w:gridCol w:w="3303"/>
            <w:gridCol w:w="3313"/>
            <w:gridCol w:w="3824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D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1"/>
                <w:bCs w:val="1"/>
                <w:color w:val="ffffff"/>
                <w:rtl w:val="0"/>
              </w:rPr>
              <w:t xml:space="preserve">原稿项目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E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1"/>
                <w:bCs w:val="1"/>
                <w:color w:val="ffffff"/>
                <w:rtl w:val="0"/>
              </w:rPr>
              <w:t xml:space="preserve">当前差异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F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1"/>
                <w:bCs w:val="1"/>
                <w:color w:val="ffffff"/>
                <w:rtl w:val="0"/>
              </w:rPr>
              <w:t xml:space="preserve">后续判断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双败与逐局录分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用户取消双败，改为大比分优先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属于需求调整，不算漏做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双打 / 排位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4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由预留提升本轮，主体已有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补边界和改分保护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6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Event / Stage / MatchSlot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7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只有状态枚举和 prev 链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8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先补必要依赖，再通用化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时间 / 区域 / 调度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只有实时排台，无计划时间和休息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作为后续独立里程碑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秩序册 / 迁移 / 契约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存在打印截断、运行时 ALTER、手写 TS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属于工程差距，需补齐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120/15 冻结门槛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上限字段存在，缺本轮全程证据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验收通过后才能发布</w:t>
            </w:r>
          </w:p>
        </w:tc>
      </w:tr>
    </w:tbl>
    <w:p w14:paraId="000000DC">
      <w:pPr>
        <w:pStyle w:val="Heading1"/>
        <w:spacing w:before="0" w:line="269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DD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Microsoft YaHei" w:hAnsi="Helvetica Neue"/>
          <w:rtl w:val="0"/>
        </w:rPr>
        <w:t xml:space="preserve">11.  仍需组织者审查</w:t>
      </w:r>
    </w:p>
    <w:p w14:paraId="000000D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Microsoft YaHei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同分：已确认胜场/净胜局/积分前缀，末级直接交锋、相互成绩、递归子集和最终人工裁定如何执行？需要指定赛事规程版本。</w:t>
      </w:r>
    </w:p>
    <w:p w14:paraId="000000D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Microsoft YaHei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弃权：单场弃权与整项退出是否区分，之前完成的成绩是否保留？不能把单场弃权自动解释为退出全部比赛。</w:t>
      </w:r>
    </w:p>
    <w:p w14:paraId="000000E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Microsoft YaHei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现场：120 人/15 台是近期实际规模还是上限？最低休息时长、固定台/区域、超出 8 人的低名次排位粒度仍需确认。</w:t>
      </w:r>
    </w:p>
    <w:p w14:paraId="000000E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Microsoft YaHei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排期：队友实际可投入时间、交付日期和独立复核人尚未明确。无须重问双败、默认比分、正式目录或打印方式，这些已经确认。</w:t>
      </w:r>
    </w:p>
    <w:p w14:paraId="000000E2">
      <w:pPr>
        <w:pStyle w:val="Heading1"/>
        <w:spacing w:before="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E3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Microsoft YaHei" w:hAnsi="Helvetica Neue"/>
          <w:rtl w:val="0"/>
        </w:rPr>
        <w:t xml:space="preserve">12.  可执行开发路线</w:t>
      </w:r>
    </w:p>
    <w:p w14:paraId="000000E4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Microsoft YaHei" w:hAnsi="Helvetica Neue"/>
          <w:color w:val="233447"/>
          <w:rtl w:val="0"/>
        </w:rPr>
        <w:t xml:space="preserve">先通过结果正确性门槛，再补现场体验与交付稳定性。你负责页面、组件、交互和打印；队友负责规则、数据、接口和迁移；核心规则须由另一人复核。功能分支小批 PR，每次字段变更同步 OpenAPI、前端类型、测试和说明，不继续维护双副本。</w:t>
      </w:r>
    </w:p>
    <w:tbl>
      <w:tblPr>
        <w:tblStyle w:val="Table9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2954"/>
        <w:gridCol w:w="3713"/>
        <w:gridCol w:w="3773"/>
        <w:tblGridChange w:id="0">
          <w:tblGrid>
            <w:gridCol w:w="2954"/>
            <w:gridCol w:w="3713"/>
            <w:gridCol w:w="3773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5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1"/>
                <w:bCs w:val="1"/>
                <w:color w:val="ffffff"/>
                <w:rtl w:val="0"/>
              </w:rPr>
              <w:t xml:space="preserve">阶段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6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1"/>
                <w:bCs w:val="1"/>
                <w:color w:val="ffffff"/>
                <w:rtl w:val="0"/>
              </w:rPr>
              <w:t xml:space="preserve">主要交付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7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1"/>
                <w:bCs w:val="1"/>
                <w:color w:val="ffffff"/>
                <w:rtl w:val="0"/>
              </w:rPr>
              <w:t xml:space="preserve">完成门槛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8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M0 基线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交接、最新代码入库、规则冻结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目录唯一、末级规则明确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M1 结果正确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C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R01–R04、必要来源保护、契约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反例与原测试通过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M2 现场可用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全量秩序册、错误态、精确连线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F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16 人单/双打浏览器闭环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F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M3 稳定交付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F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迁移备份、并发、120/15、CI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F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新机启动与恢复通过、无 P0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F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M4 按需扩展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F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独立赛制、时段/区域、官方模板、团体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F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单独规格与回归；不阻塞当前修复</w:t>
            </w:r>
          </w:p>
        </w:tc>
      </w:tr>
    </w:tbl>
    <w:p w14:paraId="000000F4">
      <w:pPr>
        <w:spacing w:after="120" w:line="269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sectPr>
      <w:headerReference r:id="rId10" w:type="default"/>
      <w:headerReference r:id="rId11" w:type="first"/>
      <w:footerReference r:id="rId12" w:type="default"/>
      <w:footerReference r:id="rId13" w:type="first"/>
      <w:pgSz w:h="15840" w:w="12240" w:orient="portrait"/>
      <w:pgMar w:bottom="893" w:top="1008" w:left="1008" w:right="1008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Helvetica Neue Ligh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6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5b7085"/>
        <w:sz w:val="20"/>
        <w:szCs w:val="20"/>
        <w:u w:val="none"/>
        <w:shd w:fill="auto" w:val="clear"/>
        <w:vertAlign w:val="baseline"/>
      </w:rPr>
    </w:pPr>
    <w:r>
      <w:rPr>
        <w:rFonts w:ascii="Arial" w:cs="Arial" w:eastAsia="Microsoft YaHei" w:hAnsi="Arial"/>
        <w:b w:val="0"/>
        <w:bCs w:val="0"/>
        <w:i w:val="0"/>
        <w:iCs w:val="0"/>
        <w:smallCaps w:val="0"/>
        <w:strike w:val="0"/>
        <w:color w:val="5b7085"/>
        <w:sz w:val="16"/>
        <w:szCs w:val="16"/>
        <w:u w:val="none"/>
        <w:shd w:fill="auto" w:val="clear"/>
        <w:vertAlign w:val="baseline"/>
        <w:rtl w:val="0"/>
      </w:rPr>
      <w:t xml:space="preserve">PingpongSystem | 开发交接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9">
    <w:pPr>
      <w:rPr/>
    </w:pPr>
    <w:r>
      <w:rPr>
        <w:rtl w:val="0"/>
      </w:rPr>
    </w:r>
  </w:p>
</w:ftr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14:paraId="000000F5">
      <w:pPr>
        <w:spacing w:after="0" w:line="270" w:lineRule="auto"/>
        <w:jc w:val="both"/>
        <w:rPr/>
      </w:pPr>
      <w:r>
        <w:rPr>
          <w:rStyle w:val="FootnoteReference"/>
          <w:vertAlign w:val="superscript"/>
        </w:rPr>
        <w:footnoteRef/>
      </w:r>
      <w:r>
        <w:rPr>
          <w:color w:val="233447"/>
          <w:rtl w:val="0"/>
        </w:rPr>
        <w:t xml:space="preserve"> Use footnotes for definitions, assumptions, or terms that need precision without interrupting the main narrative.</w:t>
      </w:r>
      <w:r>
        <w:rPr>
          <w:rtl w:val="0"/>
        </w:rPr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6">
    <w:pPr>
      <w:rPr/>
    </w:pPr>
    <w:r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8">
    <w:pPr>
      <w:rPr/>
    </w:pPr>
    <w:r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)"/>
      <w:lvlJc w:val="left"/>
      <w:pPr>
        <w:ind w:left="720" w:hanging="360"/>
      </w:pPr>
      <w:rPr/>
    </w:lvl>
    <w:lvl w:ilvl="2">
      <w:start w:val="1"/>
      <w:numFmt w:val="lowerRoman"/>
      <w:lvlText w:val="%3)"/>
      <w:lvlJc w:val="left"/>
      <w:pPr>
        <w:ind w:left="1080" w:hanging="360"/>
      </w:pPr>
      <w:rPr/>
    </w:lvl>
    <w:lvl w:ilvl="3">
      <w:start w:val="1"/>
      <w:numFmt w:val="decimal"/>
      <w:lvlText w:val="(%4)"/>
      <w:lvlJc w:val="left"/>
      <w:pPr>
        <w:ind w:left="1440" w:hanging="360"/>
      </w:pPr>
      <w:rPr/>
    </w:lvl>
    <w:lvl w:ilvl="4">
      <w:start w:val="1"/>
      <w:numFmt w:val="lowerLetter"/>
      <w:lvlText w:val="(%5)"/>
      <w:lvlJc w:val="left"/>
      <w:pPr>
        <w:ind w:left="1800" w:hanging="360"/>
      </w:pPr>
      <w:rPr/>
    </w:lvl>
    <w:lvl w:ilvl="5">
      <w:start w:val="1"/>
      <w:numFmt w:val="lowerRoman"/>
      <w:lvlText w:val="(%6)"/>
      <w:lvlJc w:val="left"/>
      <w:pPr>
        <w:ind w:left="2160" w:hanging="360"/>
      </w:pPr>
      <w:rPr/>
    </w:lvl>
    <w:lvl w:ilvl="6">
      <w:start w:val="1"/>
      <w:numFmt w:val="decimal"/>
      <w:lvlText w:val="%7."/>
      <w:lvlJc w:val="left"/>
      <w:pPr>
        <w:ind w:left="2520" w:hanging="360"/>
      </w:pPr>
      <w:rPr/>
    </w:lvl>
    <w:lvl w:ilvl="7">
      <w:start w:val="1"/>
      <w:numFmt w:val="lowerLetter"/>
      <w:lvlText w:val="%8."/>
      <w:lvlJc w:val="left"/>
      <w:pPr>
        <w:ind w:left="2880" w:hanging="360"/>
      </w:pPr>
      <w:rPr/>
    </w:lvl>
    <w:lvl w:ilvl="8">
      <w:start w:val="1"/>
      <w:numFmt w:val="lowerRoman"/>
      <w:lvlText w:val="%9."/>
      <w:lvlJc w:val="left"/>
      <w:pPr>
        <w:ind w:left="3240" w:hanging="360"/>
      </w:pPr>
      <w:rPr/>
    </w:lvl>
  </w:abstractNum>
  <w:abstractNum w:abstractNumId="3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)"/>
      <w:lvlJc w:val="left"/>
      <w:pPr>
        <w:ind w:left="720" w:hanging="360"/>
      </w:pPr>
      <w:rPr/>
    </w:lvl>
    <w:lvl w:ilvl="2">
      <w:start w:val="1"/>
      <w:numFmt w:val="lowerRoman"/>
      <w:lvlText w:val="%3)"/>
      <w:lvlJc w:val="left"/>
      <w:pPr>
        <w:ind w:left="1080" w:hanging="360"/>
      </w:pPr>
      <w:rPr/>
    </w:lvl>
    <w:lvl w:ilvl="3">
      <w:start w:val="1"/>
      <w:numFmt w:val="decimal"/>
      <w:lvlText w:val="(%4)"/>
      <w:lvlJc w:val="left"/>
      <w:pPr>
        <w:ind w:left="1440" w:hanging="360"/>
      </w:pPr>
      <w:rPr/>
    </w:lvl>
    <w:lvl w:ilvl="4">
      <w:start w:val="1"/>
      <w:numFmt w:val="lowerLetter"/>
      <w:lvlText w:val="(%5)"/>
      <w:lvlJc w:val="left"/>
      <w:pPr>
        <w:ind w:left="1800" w:hanging="360"/>
      </w:pPr>
      <w:rPr/>
    </w:lvl>
    <w:lvl w:ilvl="5">
      <w:start w:val="1"/>
      <w:numFmt w:val="lowerRoman"/>
      <w:lvlText w:val="(%6)"/>
      <w:lvlJc w:val="left"/>
      <w:pPr>
        <w:ind w:left="2160" w:hanging="360"/>
      </w:pPr>
      <w:rPr/>
    </w:lvl>
    <w:lvl w:ilvl="6">
      <w:start w:val="1"/>
      <w:numFmt w:val="decimal"/>
      <w:lvlText w:val="%7."/>
      <w:lvlJc w:val="left"/>
      <w:pPr>
        <w:ind w:left="2520" w:hanging="360"/>
      </w:pPr>
      <w:rPr/>
    </w:lvl>
    <w:lvl w:ilvl="7">
      <w:start w:val="1"/>
      <w:numFmt w:val="lowerLetter"/>
      <w:lvlText w:val="%8."/>
      <w:lvlJc w:val="left"/>
      <w:pPr>
        <w:ind w:left="2880" w:hanging="360"/>
      </w:pPr>
      <w:rPr/>
    </w:lvl>
    <w:lvl w:ilvl="8">
      <w:start w:val="1"/>
      <w:numFmt w:val="lowerRoman"/>
      <w:lvlText w:val="%9."/>
      <w:lvlJc w:val="left"/>
      <w:pPr>
        <w:ind w:left="3240" w:hanging="360"/>
      </w:pPr>
      <w:rPr/>
    </w:lvl>
  </w:abstractNum>
  <w:abstractNum w:abstractNumId="4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233447"/>
        <w:lang w:val="en"/>
      </w:rPr>
    </w:rPrDefault>
    <w:pPrDefault>
      <w:pPr>
        <w:spacing w:after="11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Bdr>
        <w:top w:color="2f6b9a" w:space="2" w:sz="0" w:val="none"/>
        <w:left w:color="2f6b9a" w:space="2" w:sz="0" w:val="none"/>
        <w:bottom w:color="2f6b9a" w:space="2" w:sz="0" w:val="none"/>
        <w:right w:color="2f6b9a" w:space="2" w:sz="0" w:val="none"/>
      </w:pBdr>
      <w:spacing w:after="130" w:line="285" w:lineRule="auto"/>
    </w:pPr>
    <w:rPr>
      <w:b w:val="1"/>
      <w:bCs w:val="1"/>
      <w:color w:val="082a4a"/>
      <w:sz w:val="27"/>
      <w:szCs w:val="27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smallCaps w:val="1"/>
      <w:color w:val="082a4a"/>
      <w:sz w:val="19"/>
      <w:szCs w:val="19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rFonts w:ascii="Helvetica Neue" w:cs="Helvetica Neue" w:eastAsia="Helvetica Neue" w:hAnsi="Helvetica Neue"/>
      <w:b w:val="1"/>
      <w:bCs w:val="1"/>
      <w:color w:val="5b7085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082a4a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082a4a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082a4a"/>
    </w:rPr>
  </w:style>
  <w:style w:type="paragraph" w:styleId="Title">
    <w:name w:val="Title"/>
    <w:basedOn w:val="Normal"/>
    <w:next w:val="Normal"/>
    <w:pPr>
      <w:spacing w:after="150" w:lineRule="auto"/>
    </w:pPr>
    <w:rPr>
      <w:b w:val="1"/>
      <w:bCs w:val="1"/>
      <w:color w:val="082a4a"/>
      <w:sz w:val="44"/>
      <w:szCs w:val="44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082a4a"/>
      <w:sz w:val="24"/>
      <w:szCs w:val="24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yperlink" Target="https://example.com/system-design/contracts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8" Type="http://schemas.openxmlformats.org/officeDocument/2006/relationships/image" Target="media/image1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Relationship Id="rId5" Type="http://schemas.openxmlformats.org/officeDocument/2006/relationships/font" Target="fonts/HelveticaNeueLight-regular.ttf"/><Relationship Id="rId6" Type="http://schemas.openxmlformats.org/officeDocument/2006/relationships/font" Target="fonts/HelveticaNeueLight-bold.ttf"/><Relationship Id="rId7" Type="http://schemas.openxmlformats.org/officeDocument/2006/relationships/font" Target="fonts/HelveticaNeueLight-italic.ttf"/><Relationship Id="rId8" Type="http://schemas.openxmlformats.org/officeDocument/2006/relationships/font" Target="fonts/HelveticaNeueLigh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