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Arial" w:cs="Arial" w:eastAsia="Arial" w:hAnsi="Arial"/>
          <w:b/>
          <w:bCs/>
          <w:color w:val="1A3557"/>
          <w:sz w:val="52"/>
          <w:szCs w:val="52"/>
        </w:rPr>
        <w:t xml:space="preserve">CommuneUSA</w:t>
      </w:r>
    </w:p>
    <w:p>
      <w:pPr>
        <w:spacing w:after="200" w:before="0"/>
        <w:jc w:val="center"/>
      </w:pPr>
      <w:r>
        <w:rPr>
          <w:rFonts w:ascii="Arial" w:cs="Arial" w:eastAsia="Arial" w:hAnsi="Arial"/>
          <w:color w:val="2E6DA4"/>
          <w:sz w:val="36"/>
          <w:szCs w:val="36"/>
        </w:rPr>
        <w:t xml:space="preserve">Local Sentiment Polling Feature</w:t>
      </w:r>
    </w:p>
    <w:p>
      <w:pPr>
        <w:pBdr>
          <w:bottom w:val="single" w:color="2E6DA4" w:sz="12" w:space="1"/>
        </w:pBdr>
        <w:spacing w:after="0" w:before="0"/>
      </w:pPr>
    </w:p>
    <w:p>
      <w:pPr>
        <w:spacing w:after="200" w:before="0"/>
      </w:pPr>
    </w:p>
    <w:p>
      <w:pPr>
        <w:spacing w:after="80" w:before="0"/>
        <w:jc w:val="center"/>
      </w:pPr>
      <w:r>
        <w:rPr>
          <w:rFonts w:ascii="Arial" w:cs="Arial" w:eastAsia="Arial" w:hAnsi="Arial"/>
          <w:b/>
          <w:bCs/>
          <w:caps/>
          <w:color w:val="1A3557"/>
          <w:sz w:val="28"/>
          <w:szCs w:val="28"/>
        </w:rPr>
        <w:t xml:space="preserve">ATTORNEY CONSULTATION BRIEF</w:t>
      </w:r>
    </w:p>
    <w:p>
      <w:pPr>
        <w:spacing w:after="80" w:before="0"/>
        <w:jc w:val="center"/>
      </w:pPr>
      <w:r>
        <w:rPr>
          <w:rFonts w:ascii="Arial" w:cs="Arial" w:eastAsia="Arial" w:hAnsi="Arial"/>
          <w:i/>
          <w:iCs/>
          <w:color w:val="555555"/>
          <w:sz w:val="22"/>
          <w:szCs w:val="22"/>
        </w:rPr>
        <w:t xml:space="preserve">Prepared by: CommuneUSA (Pre-Launch Review)</w:t>
      </w:r>
    </w:p>
    <w:p>
      <w:pPr>
        <w:spacing w:after="80" w:before="0"/>
        <w:jc w:val="center"/>
      </w:pPr>
      <w:r>
        <w:rPr>
          <w:rFonts w:ascii="Arial" w:cs="Arial" w:eastAsia="Arial" w:hAnsi="Arial"/>
          <w:i/>
          <w:iCs/>
          <w:color w:val="555555"/>
          <w:sz w:val="22"/>
          <w:szCs w:val="22"/>
        </w:rPr>
        <w:t xml:space="preserve">Date: June 24, 2026</w:t>
      </w:r>
    </w:p>
    <w:p>
      <w:pPr>
        <w:spacing w:after="80" w:before="0"/>
        <w:jc w:val="center"/>
      </w:pPr>
      <w:r>
        <w:rPr>
          <w:rFonts w:ascii="Arial" w:cs="Arial" w:eastAsia="Arial" w:hAnsi="Arial"/>
          <w:i/>
          <w:iCs/>
          <w:color w:val="555555"/>
          <w:sz w:val="22"/>
          <w:szCs w:val="22"/>
        </w:rPr>
        <w:t xml:space="preserve">Jurisdiction: Washington State (with planned national expansion)</w:t>
      </w:r>
    </w:p>
    <w:p>
      <w:pPr>
        <w:spacing w:after="200" w:before="0"/>
      </w:pPr>
    </w:p>
    <w:p>
      <w:pPr>
        <w:pBdr>
          <w:bottom w:val="single" w:color="2E6DA4" w:sz="6" w:space="1"/>
        </w:pBdr>
        <w:spacing w:after="0" w:before="0"/>
      </w:pPr>
    </w:p>
    <w:p>
      <w:pPr>
        <w:spacing w:after="200" w:before="0"/>
      </w:pPr>
    </w:p>
    <w:p>
      <w:pPr>
        <w:shd w:fill="EBF2FA" w:val="clear"/>
        <w:spacing w:after="80" w:before="0"/>
        <w:jc w:val="center"/>
      </w:pPr>
      <w:r>
        <w:rPr>
          <w:rFonts w:ascii="Arial" w:cs="Arial" w:eastAsia="Arial" w:hAnsi="Arial"/>
          <w:b/>
          <w:bCs/>
          <w:caps/>
          <w:color w:val="1A3557"/>
          <w:sz w:val="18"/>
          <w:szCs w:val="18"/>
        </w:rPr>
        <w:t xml:space="preserve">CONFIDENTIAL — PREPARED FOR ATTORNEY-CLIENT CONSULTATION</w:t>
      </w:r>
    </w:p>
    <w:p>
      <w:pPr>
        <w:spacing w:after="200" w:before="0"/>
      </w:pPr>
    </w:p>
    <w:p>
      <w:pPr>
        <w:spacing w:after="80" w:before="60"/>
      </w:pPr>
      <w:r>
        <w:rPr>
          <w:rFonts w:ascii="Arial" w:cs="Arial" w:eastAsia="Arial" w:hAnsi="Arial"/>
          <w:b w:val="false"/>
          <w:bCs w:val="false"/>
          <w:color w:val="555555"/>
          <w:sz w:val="22"/>
          <w:szCs w:val="22"/>
        </w:rPr>
        <w:t xml:space="preserve">PURPOSE OF THIS BRIEF: This document is prepared to make a paid attorney consultation as fast and focused as possible. It describes a planned feature not yet live, outlines the data we intend to collect, and lists specific legal questions we need answered. It does not contain legal conclusions or advice.</w:t>
      </w:r>
    </w:p>
    <w:p>
      <w:r>
        <w:br w:type="page"/>
      </w:r>
    </w:p>
    <w:p>
      <w:pPr>
        <w:spacing w:after="60" w:before="320"/>
      </w:pPr>
      <w:r>
        <w:rPr>
          <w:rFonts w:ascii="Arial" w:cs="Arial" w:eastAsia="Arial" w:hAnsi="Arial"/>
          <w:b/>
          <w:bCs/>
          <w:caps/>
          <w:color w:val="2E6DA4"/>
          <w:sz w:val="18"/>
          <w:szCs w:val="18"/>
        </w:rPr>
        <w:t xml:space="preserve">SECTION 1  </w:t>
      </w:r>
      <w:r>
        <w:rPr>
          <w:rFonts w:ascii="Arial" w:cs="Arial" w:eastAsia="Arial" w:hAnsi="Arial"/>
          <w:b/>
          <w:bCs/>
          <w:caps/>
          <w:color w:val="2E6DA4"/>
          <w:sz w:val="18"/>
          <w:szCs w:val="18"/>
        </w:rPr>
        <w:t xml:space="preserve">Feature Description</w:t>
      </w:r>
    </w:p>
    <w:p>
      <w:pPr>
        <w:shd w:fill="1A3557" w:val="clear"/>
        <w:spacing w:after="160" w:before="80"/>
        <w:ind w:left="180" w:right="180"/>
      </w:pPr>
      <w:r>
        <w:rPr>
          <w:rFonts w:ascii="Arial" w:cs="Arial" w:eastAsia="Arial" w:hAnsi="Arial"/>
          <w:b/>
          <w:bCs/>
          <w:color w:val="FFFFFF"/>
          <w:sz w:val="28"/>
          <w:szCs w:val="28"/>
        </w:rPr>
        <w:t xml:space="preserve">LOCAL SENTIMENT POLLING FEATURE</w:t>
      </w:r>
    </w:p>
    <w:p>
      <w:pPr>
        <w:spacing w:after="80" w:before="60"/>
      </w:pPr>
      <w:r>
        <w:rPr>
          <w:rFonts w:ascii="Arial" w:cs="Arial" w:eastAsia="Arial" w:hAnsi="Arial"/>
          <w:b w:val="false"/>
          <w:bCs w:val="false"/>
          <w:color w:val="111111"/>
          <w:sz w:val="22"/>
          <w:szCs w:val="22"/>
        </w:rPr>
        <w:t xml:space="preserve">The Local Sentiment Polling feature allows verified local residents to express their sentiment about elected local officials or about specific legislative votes, bills, or policy issues. This feature is currently in design and has not been deployed or made publicly available.</w:t>
      </w:r>
    </w:p>
    <w:p>
      <w:pPr>
        <w:pBdr>
          <w:bottom w:val="single" w:color="2E6DA4" w:sz="4" w:space="1"/>
        </w:pBdr>
        <w:spacing w:after="80" w:before="200"/>
      </w:pPr>
      <w:r>
        <w:rPr>
          <w:rFonts w:ascii="Arial" w:cs="Arial" w:eastAsia="Arial" w:hAnsi="Arial"/>
          <w:b/>
          <w:bCs/>
          <w:color w:val="1A3557"/>
          <w:sz w:val="24"/>
          <w:szCs w:val="24"/>
        </w:rPr>
        <w:t xml:space="preserve">What the feature does</w:t>
      </w:r>
    </w:p>
    <w:p>
      <w:pPr>
        <w:pStyle w:val="ListParagraph"/>
        <w:numPr>
          <w:ilvl w:val="0"/>
          <w:numId w:val="2"/>
        </w:numPr>
        <w:spacing w:after="60" w:before="40"/>
      </w:pPr>
      <w:r>
        <w:rPr>
          <w:rFonts w:ascii="Arial" w:cs="Arial" w:eastAsia="Arial" w:hAnsi="Arial"/>
          <w:color w:val="111111"/>
          <w:sz w:val="22"/>
          <w:szCs w:val="22"/>
        </w:rPr>
        <w:t xml:space="preserve">Registered users who have completed a residency verification step may submit a sentiment response (e.g., approve / disapprove / neutral) on a named local official or a specific bill or vote.</w:t>
      </w:r>
    </w:p>
    <w:p>
      <w:pPr>
        <w:pStyle w:val="ListParagraph"/>
        <w:numPr>
          <w:ilvl w:val="0"/>
          <w:numId w:val="2"/>
        </w:numPr>
        <w:spacing w:after="60" w:before="40"/>
      </w:pPr>
      <w:r>
        <w:rPr>
          <w:rFonts w:ascii="Arial" w:cs="Arial" w:eastAsia="Arial" w:hAnsi="Arial"/>
          <w:color w:val="111111"/>
          <w:sz w:val="22"/>
          <w:szCs w:val="22"/>
        </w:rPr>
        <w:t xml:space="preserve">Sentiment responses are tied to a verified geographic unit such as a city council district, county district, or state legislative district.</w:t>
      </w:r>
    </w:p>
    <w:p>
      <w:pPr>
        <w:pStyle w:val="ListParagraph"/>
        <w:numPr>
          <w:ilvl w:val="0"/>
          <w:numId w:val="2"/>
        </w:numPr>
        <w:spacing w:after="60" w:before="40"/>
      </w:pPr>
      <w:r>
        <w:rPr>
          <w:rFonts w:ascii="Arial" w:cs="Arial" w:eastAsia="Arial" w:hAnsi="Arial"/>
          <w:color w:val="111111"/>
          <w:sz w:val="22"/>
          <w:szCs w:val="22"/>
        </w:rPr>
        <w:t xml:space="preserve">Results are displayed publicly as raw participant counts only. Example display: “312 verified residents of Seattle City Council District 3 responded to this question.”</w:t>
      </w:r>
    </w:p>
    <w:p>
      <w:pPr>
        <w:pStyle w:val="ListParagraph"/>
        <w:numPr>
          <w:ilvl w:val="0"/>
          <w:numId w:val="2"/>
        </w:numPr>
        <w:spacing w:after="60" w:before="40"/>
      </w:pPr>
      <w:r>
        <w:rPr>
          <w:rFonts w:ascii="Arial" w:cs="Arial" w:eastAsia="Arial" w:hAnsi="Arial"/>
          <w:color w:val="111111"/>
          <w:sz w:val="22"/>
          <w:szCs w:val="22"/>
        </w:rPr>
        <w:t xml:space="preserve">Results are never extrapolated to population-level percentages, never described as statistically representative, and never framed as polling data or survey data.</w:t>
      </w:r>
    </w:p>
    <w:p>
      <w:pPr>
        <w:pStyle w:val="ListParagraph"/>
        <w:numPr>
          <w:ilvl w:val="0"/>
          <w:numId w:val="2"/>
        </w:numPr>
        <w:spacing w:after="60" w:before="40"/>
      </w:pPr>
      <w:r>
        <w:rPr>
          <w:rFonts w:ascii="Arial" w:cs="Arial" w:eastAsia="Arial" w:hAnsi="Arial"/>
          <w:color w:val="111111"/>
          <w:sz w:val="22"/>
          <w:szCs w:val="22"/>
        </w:rPr>
        <w:t xml:space="preserve">Sentiment may be tied to: (a) named elected officials currently in office; (b) named candidates during an election cycle; (c) specific bills, ordinances, ballot measures, or votes by number and name.</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What the feature does not do</w:t>
      </w:r>
    </w:p>
    <w:p>
      <w:pPr>
        <w:pStyle w:val="ListParagraph"/>
        <w:numPr>
          <w:ilvl w:val="0"/>
          <w:numId w:val="2"/>
        </w:numPr>
        <w:spacing w:after="60" w:before="40"/>
      </w:pPr>
      <w:r>
        <w:rPr>
          <w:rFonts w:ascii="Arial" w:cs="Arial" w:eastAsia="Arial" w:hAnsi="Arial"/>
          <w:color w:val="111111"/>
          <w:sz w:val="22"/>
          <w:szCs w:val="22"/>
        </w:rPr>
        <w:t xml:space="preserve">It does not conduct scientific polling or claim statistical representativeness.</w:t>
      </w:r>
    </w:p>
    <w:p>
      <w:pPr>
        <w:pStyle w:val="ListParagraph"/>
        <w:numPr>
          <w:ilvl w:val="0"/>
          <w:numId w:val="2"/>
        </w:numPr>
        <w:spacing w:after="60" w:before="40"/>
      </w:pPr>
      <w:r>
        <w:rPr>
          <w:rFonts w:ascii="Arial" w:cs="Arial" w:eastAsia="Arial" w:hAnsi="Arial"/>
          <w:color w:val="111111"/>
          <w:sz w:val="22"/>
          <w:szCs w:val="22"/>
        </w:rPr>
        <w:t xml:space="preserve">It does not publish individual user responses or link any response to a named individual.</w:t>
      </w:r>
    </w:p>
    <w:p>
      <w:pPr>
        <w:pStyle w:val="ListParagraph"/>
        <w:numPr>
          <w:ilvl w:val="0"/>
          <w:numId w:val="2"/>
        </w:numPr>
        <w:spacing w:after="60" w:before="40"/>
      </w:pPr>
      <w:r>
        <w:rPr>
          <w:rFonts w:ascii="Arial" w:cs="Arial" w:eastAsia="Arial" w:hAnsi="Arial"/>
          <w:color w:val="111111"/>
          <w:sz w:val="22"/>
          <w:szCs w:val="22"/>
        </w:rPr>
        <w:t xml:space="preserve">It does not solicit or accept money or donations in connection with any political figure or campaign.</w:t>
      </w:r>
    </w:p>
    <w:p>
      <w:pPr>
        <w:pStyle w:val="ListParagraph"/>
        <w:numPr>
          <w:ilvl w:val="0"/>
          <w:numId w:val="2"/>
        </w:numPr>
        <w:spacing w:after="60" w:before="40"/>
      </w:pPr>
      <w:r>
        <w:rPr>
          <w:rFonts w:ascii="Arial" w:cs="Arial" w:eastAsia="Arial" w:hAnsi="Arial"/>
          <w:color w:val="111111"/>
          <w:sz w:val="22"/>
          <w:szCs w:val="22"/>
        </w:rPr>
        <w:t xml:space="preserve">It does not endorse or oppose any candidate or measure.</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Display of results</w:t>
      </w:r>
    </w:p>
    <w:p>
      <w:pPr>
        <w:spacing w:after="80" w:before="60"/>
      </w:pPr>
      <w:r>
        <w:rPr>
          <w:rFonts w:ascii="Arial" w:cs="Arial" w:eastAsia="Arial" w:hAnsi="Arial"/>
          <w:b w:val="false"/>
          <w:bCs w:val="false"/>
          <w:color w:val="111111"/>
          <w:sz w:val="22"/>
          <w:szCs w:val="22"/>
        </w:rPr>
        <w:t xml:space="preserve">All results are displayed as raw participant counts alongside explicit disclaimers. Sample disclaimer language (subject to legal review):</w:t>
      </w:r>
    </w:p>
    <w:p>
      <w:pPr>
        <w:shd w:fill="EBF2FA" w:val="clear"/>
        <w:spacing w:after="80" w:before="80"/>
        <w:ind w:left="720" w:right="720"/>
      </w:pPr>
      <w:r>
        <w:rPr>
          <w:rFonts w:ascii="Arial" w:cs="Arial" w:eastAsia="Arial" w:hAnsi="Arial"/>
          <w:i/>
          <w:iCs/>
          <w:color w:val="1A3557"/>
          <w:sz w:val="21"/>
          <w:szCs w:val="21"/>
        </w:rPr>
        <w:t xml:space="preserve">“This is not a scientific poll. Results reflect only the verified residents who chose to participate on this platform and do not represent the views of all residents of this district.”</w:t>
      </w:r>
    </w:p>
    <w:p>
      <w:pPr>
        <w:spacing w:after="120" w:before="0"/>
      </w:pPr>
    </w:p>
    <w:p>
      <w:pPr>
        <w:spacing w:after="60" w:before="320"/>
      </w:pPr>
      <w:r>
        <w:rPr>
          <w:rFonts w:ascii="Arial" w:cs="Arial" w:eastAsia="Arial" w:hAnsi="Arial"/>
          <w:b/>
          <w:bCs/>
          <w:caps/>
          <w:color w:val="2E6DA4"/>
          <w:sz w:val="18"/>
          <w:szCs w:val="18"/>
        </w:rPr>
        <w:t xml:space="preserve">SECTION 2  </w:t>
      </w:r>
      <w:r>
        <w:rPr>
          <w:rFonts w:ascii="Arial" w:cs="Arial" w:eastAsia="Arial" w:hAnsi="Arial"/>
          <w:b/>
          <w:bCs/>
          <w:caps/>
          <w:color w:val="2E6DA4"/>
          <w:sz w:val="18"/>
          <w:szCs w:val="18"/>
        </w:rPr>
        <w:t xml:space="preserve">Residency &amp; Identity Verification</w:t>
      </w:r>
    </w:p>
    <w:p>
      <w:pPr>
        <w:shd w:fill="1A3557" w:val="clear"/>
        <w:spacing w:after="160" w:before="80"/>
        <w:ind w:left="180" w:right="180"/>
      </w:pPr>
      <w:r>
        <w:rPr>
          <w:rFonts w:ascii="Arial" w:cs="Arial" w:eastAsia="Arial" w:hAnsi="Arial"/>
          <w:b/>
          <w:bCs/>
          <w:color w:val="FFFFFF"/>
          <w:sz w:val="28"/>
          <w:szCs w:val="28"/>
        </w:rPr>
        <w:t xml:space="preserve">VERIFICATION OPTIONS UNDER CONSIDERATION</w:t>
      </w:r>
    </w:p>
    <w:p>
      <w:pPr>
        <w:spacing w:after="80" w:before="60"/>
      </w:pPr>
      <w:r>
        <w:rPr>
          <w:rFonts w:ascii="Arial" w:cs="Arial" w:eastAsia="Arial" w:hAnsi="Arial"/>
          <w:b w:val="false"/>
          <w:bCs w:val="false"/>
          <w:color w:val="111111"/>
          <w:sz w:val="22"/>
          <w:szCs w:val="22"/>
        </w:rPr>
        <w:t xml:space="preserve">We have not finalized the verification method. We are evaluating the following options on a friction-vs.-strength spectrum. The attorney should be aware that our decision may be influenced by the legal obligations each option triggers.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r>
              <w:rPr>
                <w:rFonts w:ascii="Arial" w:cs="Arial" w:eastAsia="Arial" w:hAnsi="Arial"/>
                <w:b/>
                <w:bCs/>
                <w:color w:val="FFFFFF"/>
                <w:sz w:val="20"/>
                <w:szCs w:val="20"/>
              </w:rPr>
              <w:t xml:space="preserve">Friction</w:t>
            </w:r>
          </w:p>
        </w:tc>
        <w:tc>
          <w:tcPr>
            <w:tcW w:type="dxa" w:w="234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r>
              <w:rPr>
                <w:rFonts w:ascii="Arial" w:cs="Arial" w:eastAsia="Arial" w:hAnsi="Arial"/>
                <w:b/>
                <w:bCs/>
                <w:color w:val="FFFFFF"/>
                <w:sz w:val="20"/>
                <w:szCs w:val="20"/>
              </w:rPr>
              <w:t xml:space="preserve">Strength</w:t>
            </w:r>
          </w:p>
        </w:tc>
      </w:tr>
      <w:tr>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Option A</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Email + claimed home address confirmation</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Low</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Weak — self-reported, not independently verified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Option 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Device geolocation (browser or mobile GPS)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Moderate — confirms device location, not legal residency</w:t>
            </w:r>
          </w:p>
        </w:tc>
      </w:tr>
      <w:tr>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Option C</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Government ID / identity verification via third-party provider (e.g., Stripe Identity)</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High</w:t>
            </w:r>
          </w:p>
        </w:tc>
        <w:tc>
          <w:tcPr>
            <w:tcW w:type="dxa" w:w="234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color w:val="111111"/>
                <w:sz w:val="20"/>
                <w:szCs w:val="20"/>
              </w:rPr>
              <w:t xml:space="preserve">Strong — ties response to a verified legal identity and address</w:t>
            </w:r>
          </w:p>
        </w:tc>
      </w:tr>
    </w:tbl>
    <w:p>
      <w:pPr>
        <w:spacing w:after="160" w:before="0"/>
      </w:pPr>
    </w:p>
    <w:p>
      <w:pPr>
        <w:pBdr>
          <w:bottom w:val="single" w:color="2E6DA4" w:sz="4" w:space="1"/>
        </w:pBdr>
        <w:spacing w:after="80" w:before="200"/>
      </w:pPr>
      <w:r>
        <w:rPr>
          <w:rFonts w:ascii="Arial" w:cs="Arial" w:eastAsia="Arial" w:hAnsi="Arial"/>
          <w:b/>
          <w:bCs/>
          <w:color w:val="1A3557"/>
          <w:sz w:val="24"/>
          <w:szCs w:val="24"/>
        </w:rPr>
        <w:t xml:space="preserve">Data collected and stored (across all options)</w:t>
      </w:r>
    </w:p>
    <w:p>
      <w:pPr>
        <w:spacing w:after="80" w:before="60"/>
      </w:pPr>
      <w:r>
        <w:rPr>
          <w:rFonts w:ascii="Arial" w:cs="Arial" w:eastAsia="Arial" w:hAnsi="Arial"/>
          <w:b w:val="false"/>
          <w:bCs w:val="false"/>
          <w:color w:val="111111"/>
          <w:sz w:val="22"/>
          <w:szCs w:val="22"/>
        </w:rPr>
        <w:t xml:space="preserve">Regardless of which option is chosen, the platform will collect and store some combination of the following:</w:t>
      </w:r>
    </w:p>
    <w:p>
      <w:pPr>
        <w:pStyle w:val="ListParagraph"/>
        <w:numPr>
          <w:ilvl w:val="0"/>
          <w:numId w:val="2"/>
        </w:numPr>
        <w:spacing w:after="60" w:before="40"/>
      </w:pPr>
      <w:r>
        <w:rPr>
          <w:rFonts w:ascii="Arial" w:cs="Arial" w:eastAsia="Arial" w:hAnsi="Arial"/>
          <w:color w:val="111111"/>
          <w:sz w:val="22"/>
          <w:szCs w:val="22"/>
        </w:rPr>
        <w:t xml:space="preserve">User email address</w:t>
      </w:r>
    </w:p>
    <w:p>
      <w:pPr>
        <w:pStyle w:val="ListParagraph"/>
        <w:numPr>
          <w:ilvl w:val="0"/>
          <w:numId w:val="2"/>
        </w:numPr>
        <w:spacing w:after="60" w:before="40"/>
      </w:pPr>
      <w:r>
        <w:rPr>
          <w:rFonts w:ascii="Arial" w:cs="Arial" w:eastAsia="Arial" w:hAnsi="Arial"/>
          <w:color w:val="111111"/>
          <w:sz w:val="22"/>
          <w:szCs w:val="22"/>
        </w:rPr>
        <w:t xml:space="preserve">User-claimed home address or district (free-form entry or structured selection)</w:t>
      </w:r>
    </w:p>
    <w:p>
      <w:pPr>
        <w:pStyle w:val="ListParagraph"/>
        <w:numPr>
          <w:ilvl w:val="0"/>
          <w:numId w:val="2"/>
        </w:numPr>
        <w:spacing w:after="60" w:before="40"/>
      </w:pPr>
      <w:r>
        <w:rPr>
          <w:rFonts w:ascii="Arial" w:cs="Arial" w:eastAsia="Arial" w:hAnsi="Arial"/>
          <w:color w:val="111111"/>
          <w:sz w:val="22"/>
          <w:szCs w:val="22"/>
        </w:rPr>
        <w:t xml:space="preserve">Device geolocation data at time of verification (if Option B or C is used)</w:t>
      </w:r>
    </w:p>
    <w:p>
      <w:pPr>
        <w:pStyle w:val="ListParagraph"/>
        <w:numPr>
          <w:ilvl w:val="0"/>
          <w:numId w:val="2"/>
        </w:numPr>
        <w:spacing w:after="60" w:before="40"/>
      </w:pPr>
      <w:r>
        <w:rPr>
          <w:rFonts w:ascii="Arial" w:cs="Arial" w:eastAsia="Arial" w:hAnsi="Arial"/>
          <w:color w:val="111111"/>
          <w:sz w:val="22"/>
          <w:szCs w:val="22"/>
        </w:rPr>
        <w:t xml:space="preserve">Identity verification status flag (e.g., “verified” / “unverified”) — not the underlying ID document</w:t>
      </w:r>
    </w:p>
    <w:p>
      <w:pPr>
        <w:pStyle w:val="ListParagraph"/>
        <w:numPr>
          <w:ilvl w:val="0"/>
          <w:numId w:val="2"/>
        </w:numPr>
        <w:spacing w:after="60" w:before="40"/>
      </w:pPr>
      <w:r>
        <w:rPr>
          <w:rFonts w:ascii="Arial" w:cs="Arial" w:eastAsia="Arial" w:hAnsi="Arial"/>
          <w:color w:val="111111"/>
          <w:sz w:val="22"/>
          <w:szCs w:val="22"/>
        </w:rPr>
        <w:t xml:space="preserve">Timestamp of verification event</w:t>
      </w:r>
    </w:p>
    <w:p>
      <w:pPr>
        <w:pStyle w:val="ListParagraph"/>
        <w:numPr>
          <w:ilvl w:val="0"/>
          <w:numId w:val="2"/>
        </w:numPr>
        <w:spacing w:after="60" w:before="40"/>
      </w:pPr>
      <w:r>
        <w:rPr>
          <w:rFonts w:ascii="Arial" w:cs="Arial" w:eastAsia="Arial" w:hAnsi="Arial"/>
          <w:color w:val="111111"/>
          <w:sz w:val="22"/>
          <w:szCs w:val="22"/>
        </w:rPr>
        <w:t xml:space="preserve">Sentiment responses linked to the verified user account (but not publicly attributed to an individual)</w:t>
      </w:r>
    </w:p>
    <w:p>
      <w:pPr>
        <w:spacing w:after="80" w:before="0"/>
      </w:pPr>
    </w:p>
    <w:p>
      <w:pPr>
        <w:spacing w:after="80" w:before="60"/>
      </w:pPr>
      <w:r>
        <w:rPr>
          <w:rFonts w:ascii="Arial" w:cs="Arial" w:eastAsia="Arial" w:hAnsi="Arial"/>
          <w:b w:val="false"/>
          <w:bCs w:val="false"/>
          <w:color w:val="111111"/>
          <w:sz w:val="22"/>
          <w:szCs w:val="22"/>
        </w:rPr>
        <w:t xml:space="preserve">If Option C (government ID verification via a third-party provider) is selected, the provider — not CommuneUSA — would handle the actual ID document processing. CommuneUSA would receive only a verification pass/fail status and potentially a confirmed address or jurisdiction from the provider.</w:t>
      </w:r>
    </w:p>
    <w:p>
      <w:pPr>
        <w:spacing w:after="120" w:before="0"/>
      </w:pPr>
    </w:p>
    <w:p>
      <w:r>
        <w:br w:type="page"/>
      </w:r>
    </w:p>
    <w:p>
      <w:pPr>
        <w:spacing w:after="60" w:before="320"/>
      </w:pPr>
      <w:r>
        <w:rPr>
          <w:rFonts w:ascii="Arial" w:cs="Arial" w:eastAsia="Arial" w:hAnsi="Arial"/>
          <w:b/>
          <w:bCs/>
          <w:caps/>
          <w:color w:val="2E6DA4"/>
          <w:sz w:val="18"/>
          <w:szCs w:val="18"/>
        </w:rPr>
        <w:t xml:space="preserve">SECTION 3  </w:t>
      </w:r>
      <w:r>
        <w:rPr>
          <w:rFonts w:ascii="Arial" w:cs="Arial" w:eastAsia="Arial" w:hAnsi="Arial"/>
          <w:b/>
          <w:bCs/>
          <w:caps/>
          <w:color w:val="2E6DA4"/>
          <w:sz w:val="18"/>
          <w:szCs w:val="18"/>
        </w:rPr>
        <w:t xml:space="preserve">Legal Questions for Attorney Review</w:t>
      </w:r>
    </w:p>
    <w:p>
      <w:pPr>
        <w:shd w:fill="1A3557" w:val="clear"/>
        <w:spacing w:after="160" w:before="80"/>
        <w:ind w:left="180" w:right="180"/>
      </w:pPr>
      <w:r>
        <w:rPr>
          <w:rFonts w:ascii="Arial" w:cs="Arial" w:eastAsia="Arial" w:hAnsi="Arial"/>
          <w:b/>
          <w:bCs/>
          <w:color w:val="FFFFFF"/>
          <w:sz w:val="28"/>
          <w:szCs w:val="28"/>
        </w:rPr>
        <w:t xml:space="preserve">SPECIFIC LEGAL QUESTIONS</w:t>
      </w:r>
      <w:r>
        <w:rPr>
          <w:rFonts w:ascii="Arial" w:cs="Arial" w:eastAsia="Arial" w:hAnsi="Arial"/>
          <w:color w:val="D0E4F5"/>
          <w:sz w:val="22"/>
          <w:szCs w:val="22"/>
        </w:rPr>
        <w:t xml:space="preserve">  |  </w:t>
      </w:r>
      <w:r>
        <w:rPr>
          <w:rFonts w:ascii="Arial" w:cs="Arial" w:eastAsia="Arial" w:hAnsi="Arial"/>
          <w:color w:val="D0E4F5"/>
          <w:sz w:val="22"/>
          <w:szCs w:val="22"/>
        </w:rPr>
        <w:t xml:space="preserve">Organized by Area of Law</w:t>
      </w:r>
    </w:p>
    <w:p>
      <w:pPr>
        <w:spacing w:after="80" w:before="60"/>
      </w:pPr>
      <w:r>
        <w:rPr>
          <w:rFonts w:ascii="Arial" w:cs="Arial" w:eastAsia="Arial" w:hAnsi="Arial"/>
          <w:b w:val="false"/>
          <w:bCs w:val="false"/>
          <w:color w:val="111111"/>
          <w:sz w:val="22"/>
          <w:szCs w:val="22"/>
        </w:rPr>
        <w:t xml:space="preserve">The following questions are presented for the attorney to analyze. We are not seeking informal opinions here — we want guidance on each area so we can make informed product and compliance decisions before launch.</w:t>
      </w:r>
    </w:p>
    <w:p>
      <w:pPr>
        <w:spacing w:after="80" w:before="0"/>
      </w:pPr>
    </w:p>
    <w:p>
      <w:pPr>
        <w:shd w:fill="EBF2FA" w:val="clear"/>
        <w:spacing w:after="60" w:before="200"/>
        <w:ind w:left="120"/>
      </w:pPr>
      <w:r>
        <w:rPr>
          <w:rFonts w:ascii="Arial" w:cs="Arial" w:eastAsia="Arial" w:hAnsi="Arial"/>
          <w:b/>
          <w:bCs/>
          <w:color w:val="1A3557"/>
          <w:sz w:val="22"/>
          <w:szCs w:val="22"/>
        </w:rPr>
        <w:t xml:space="preserve">3A.  Privacy &amp; Data Protection</w:t>
      </w:r>
    </w:p>
    <w:p>
      <w:pPr>
        <w:pBdr>
          <w:bottom w:val="single" w:color="2E6DA4" w:sz="4" w:space="1"/>
        </w:pBdr>
        <w:spacing w:after="80" w:before="200"/>
      </w:pPr>
      <w:r>
        <w:rPr>
          <w:rFonts w:ascii="Arial" w:cs="Arial" w:eastAsia="Arial" w:hAnsi="Arial"/>
          <w:b/>
          <w:bCs/>
          <w:color w:val="1A3557"/>
          <w:sz w:val="24"/>
          <w:szCs w:val="24"/>
        </w:rPr>
        <w:t xml:space="preserve">Washington State Privacy Laws</w:t>
      </w:r>
    </w:p>
    <w:p>
      <w:pPr>
        <w:pStyle w:val="ListParagraph"/>
        <w:numPr>
          <w:ilvl w:val="0"/>
          <w:numId w:val="2"/>
        </w:numPr>
        <w:spacing w:after="60" w:before="40"/>
      </w:pPr>
      <w:r>
        <w:rPr>
          <w:rFonts w:ascii="Arial" w:cs="Arial" w:eastAsia="Arial" w:hAnsi="Arial"/>
          <w:color w:val="111111"/>
          <w:sz w:val="22"/>
          <w:szCs w:val="22"/>
        </w:rPr>
        <w:t xml:space="preserve">Washington’s My Health My Data Act (MHMDA): Does the collection of geolocation data and/or government ID verification status constitute “consumer health data” or otherwise fall within MHMDA’s scope? If so, what specific obligations does that trigger (consent, data minimization, right to deletion, etc.)?</w:t>
      </w:r>
    </w:p>
    <w:p>
      <w:pPr>
        <w:pStyle w:val="ListParagraph"/>
        <w:numPr>
          <w:ilvl w:val="0"/>
          <w:numId w:val="2"/>
        </w:numPr>
        <w:spacing w:after="60" w:before="40"/>
      </w:pPr>
      <w:r>
        <w:rPr>
          <w:rFonts w:ascii="Arial" w:cs="Arial" w:eastAsia="Arial" w:hAnsi="Arial"/>
          <w:color w:val="111111"/>
          <w:sz w:val="22"/>
          <w:szCs w:val="22"/>
        </w:rPr>
        <w:t xml:space="preserve">Washington Consumer Protection Act (CPA): Does aggregating and publishing resident sentiment about a named official create any CPA exposure?</w:t>
      </w:r>
    </w:p>
    <w:p>
      <w:pPr>
        <w:pStyle w:val="ListParagraph"/>
        <w:numPr>
          <w:ilvl w:val="0"/>
          <w:numId w:val="2"/>
        </w:numPr>
        <w:spacing w:after="60" w:before="40"/>
      </w:pPr>
      <w:r>
        <w:rPr>
          <w:rFonts w:ascii="Arial" w:cs="Arial" w:eastAsia="Arial" w:hAnsi="Arial"/>
          <w:color w:val="111111"/>
          <w:sz w:val="22"/>
          <w:szCs w:val="22"/>
        </w:rPr>
        <w:t xml:space="preserve">Washington Privacy Act (SB 5062, if enacted or applicable at time of launch): What obligations does it impose on the categories of data we collect?</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General Data Obligations</w:t>
      </w:r>
    </w:p>
    <w:p>
      <w:pPr>
        <w:pStyle w:val="ListParagraph"/>
        <w:numPr>
          <w:ilvl w:val="0"/>
          <w:numId w:val="2"/>
        </w:numPr>
        <w:spacing w:after="60" w:before="40"/>
      </w:pPr>
      <w:r>
        <w:rPr>
          <w:rFonts w:ascii="Arial" w:cs="Arial" w:eastAsia="Arial" w:hAnsi="Arial"/>
          <w:color w:val="111111"/>
          <w:sz w:val="22"/>
          <w:szCs w:val="22"/>
        </w:rPr>
        <w:t xml:space="preserve">Data retention: What is the legally prudent retention period for residency verification data, geolocation data, and identity verification status? Are there minimum or maximum retention requirements that apply?</w:t>
      </w:r>
    </w:p>
    <w:p>
      <w:pPr>
        <w:pStyle w:val="ListParagraph"/>
        <w:numPr>
          <w:ilvl w:val="0"/>
          <w:numId w:val="2"/>
        </w:numPr>
        <w:spacing w:after="60" w:before="40"/>
      </w:pPr>
      <w:r>
        <w:rPr>
          <w:rFonts w:ascii="Arial" w:cs="Arial" w:eastAsia="Arial" w:hAnsi="Arial"/>
          <w:color w:val="111111"/>
          <w:sz w:val="22"/>
          <w:szCs w:val="22"/>
        </w:rPr>
        <w:t xml:space="preserve">Data breach: What are our notification obligations under Washington’s data breach statute (RCW 19.255.010) if verification data is compromised? Does the type of data collected (address, ID verification status) affect the severity of those obligations?</w:t>
      </w:r>
    </w:p>
    <w:p>
      <w:pPr>
        <w:pStyle w:val="ListParagraph"/>
        <w:numPr>
          <w:ilvl w:val="0"/>
          <w:numId w:val="2"/>
        </w:numPr>
        <w:spacing w:after="60" w:before="40"/>
      </w:pPr>
      <w:r>
        <w:rPr>
          <w:rFonts w:ascii="Arial" w:cs="Arial" w:eastAsia="Arial" w:hAnsi="Arial"/>
          <w:color w:val="111111"/>
          <w:sz w:val="22"/>
          <w:szCs w:val="22"/>
        </w:rPr>
        <w:t xml:space="preserve">Right to deletion: Do users have a legally enforceable right to delete their verification data and/or their sentiment responses? Does deleting a sentiment response require us to re-calculate and re-display historical results?</w:t>
      </w:r>
    </w:p>
    <w:p>
      <w:pPr>
        <w:pStyle w:val="ListParagraph"/>
        <w:numPr>
          <w:ilvl w:val="0"/>
          <w:numId w:val="2"/>
        </w:numPr>
        <w:spacing w:after="60" w:before="40"/>
      </w:pPr>
      <w:r>
        <w:rPr>
          <w:rFonts w:ascii="Arial" w:cs="Arial" w:eastAsia="Arial" w:hAnsi="Arial"/>
          <w:color w:val="111111"/>
          <w:sz w:val="22"/>
          <w:szCs w:val="22"/>
        </w:rPr>
        <w:t xml:space="preserve">COPPA / minor users: If a minor completes identity verification and submits a sentiment response, what obligations does that create?</w:t>
      </w:r>
    </w:p>
    <w:p>
      <w:pPr>
        <w:spacing w:after="80" w:before="0"/>
      </w:pPr>
    </w:p>
    <w:p>
      <w:pPr>
        <w:shd w:fill="EBF2FA" w:val="clear"/>
        <w:spacing w:after="60" w:before="200"/>
        <w:ind w:left="120"/>
      </w:pPr>
      <w:r>
        <w:rPr>
          <w:rFonts w:ascii="Arial" w:cs="Arial" w:eastAsia="Arial" w:hAnsi="Arial"/>
          <w:b/>
          <w:bCs/>
          <w:color w:val="1A3557"/>
          <w:sz w:val="22"/>
          <w:szCs w:val="22"/>
        </w:rPr>
        <w:t xml:space="preserve">3B.  Liability: Defamation, False Light, and Related Torts</w:t>
      </w:r>
    </w:p>
    <w:p>
      <w:pPr>
        <w:pStyle w:val="ListParagraph"/>
        <w:numPr>
          <w:ilvl w:val="0"/>
          <w:numId w:val="2"/>
        </w:numPr>
        <w:spacing w:after="60" w:before="40"/>
      </w:pPr>
      <w:r>
        <w:rPr>
          <w:rFonts w:ascii="Arial" w:cs="Arial" w:eastAsia="Arial" w:hAnsi="Arial"/>
          <w:color w:val="111111"/>
          <w:sz w:val="22"/>
          <w:szCs w:val="22"/>
        </w:rPr>
        <w:t xml:space="preserve">If we aggregate and publicly display sentiment about a named elected official (e.g., “210 verified residents disapprove of Council Member [Name]’s vote on [Bill]”), does that publication create defamation or false-light exposure for CommuneUSA?</w:t>
      </w:r>
    </w:p>
    <w:p>
      <w:pPr>
        <w:pStyle w:val="ListParagraph"/>
        <w:numPr>
          <w:ilvl w:val="0"/>
          <w:numId w:val="2"/>
        </w:numPr>
        <w:spacing w:after="60" w:before="40"/>
      </w:pPr>
      <w:r>
        <w:rPr>
          <w:rFonts w:ascii="Arial" w:cs="Arial" w:eastAsia="Arial" w:hAnsi="Arial"/>
          <w:color w:val="111111"/>
          <w:sz w:val="22"/>
          <w:szCs w:val="22"/>
        </w:rPr>
        <w:t xml:space="preserve">Does framing results as raw participant counts (rather than population-level percentages) materially reduce or eliminate that exposure?</w:t>
      </w:r>
    </w:p>
    <w:p>
      <w:pPr>
        <w:pStyle w:val="ListParagraph"/>
        <w:numPr>
          <w:ilvl w:val="0"/>
          <w:numId w:val="2"/>
        </w:numPr>
        <w:spacing w:after="60" w:before="40"/>
      </w:pPr>
      <w:r>
        <w:rPr>
          <w:rFonts w:ascii="Arial" w:cs="Arial" w:eastAsia="Arial" w:hAnsi="Arial"/>
          <w:color w:val="111111"/>
          <w:sz w:val="22"/>
          <w:szCs w:val="22"/>
        </w:rPr>
        <w:t xml:space="preserve">Does the explicit disclaimer that results are not representative of the district population provide a meaningful legal shield?</w:t>
      </w:r>
    </w:p>
    <w:p>
      <w:pPr>
        <w:pStyle w:val="ListParagraph"/>
        <w:numPr>
          <w:ilvl w:val="0"/>
          <w:numId w:val="2"/>
        </w:numPr>
        <w:spacing w:after="60" w:before="40"/>
      </w:pPr>
      <w:r>
        <w:rPr>
          <w:rFonts w:ascii="Arial" w:cs="Arial" w:eastAsia="Arial" w:hAnsi="Arial"/>
          <w:color w:val="111111"/>
          <w:sz w:val="22"/>
          <w:szCs w:val="22"/>
        </w:rPr>
        <w:t xml:space="preserve">Are named elected officials “public figures” for defamation purposes such that the actual malice standard applies, and does that benefit CommuneUSA as publisher?</w:t>
      </w:r>
    </w:p>
    <w:p>
      <w:pPr>
        <w:pStyle w:val="ListParagraph"/>
        <w:numPr>
          <w:ilvl w:val="0"/>
          <w:numId w:val="2"/>
        </w:numPr>
        <w:spacing w:after="60" w:before="40"/>
      </w:pPr>
      <w:r>
        <w:rPr>
          <w:rFonts w:ascii="Arial" w:cs="Arial" w:eastAsia="Arial" w:hAnsi="Arial"/>
          <w:color w:val="111111"/>
          <w:sz w:val="22"/>
          <w:szCs w:val="22"/>
        </w:rPr>
        <w:t xml:space="preserve">Could displaying sentiment about a named official in connection with a specific vote or bill be characterized as defamatory per se (e.g., implying misconduct) in any realistic scenario?</w:t>
      </w:r>
    </w:p>
    <w:p>
      <w:pPr>
        <w:pStyle w:val="ListParagraph"/>
        <w:numPr>
          <w:ilvl w:val="0"/>
          <w:numId w:val="2"/>
        </w:numPr>
        <w:spacing w:after="60" w:before="40"/>
      </w:pPr>
      <w:r>
        <w:rPr>
          <w:rFonts w:ascii="Arial" w:cs="Arial" w:eastAsia="Arial" w:hAnsi="Arial"/>
          <w:color w:val="111111"/>
          <w:sz w:val="22"/>
          <w:szCs w:val="22"/>
        </w:rPr>
        <w:t xml:space="preserve">What exposure, if any, does CommuneUSA have for sentiment submitted by users that is fraudulent or manipulated (e.g., fake verified accounts)? Does Section 230 of the CDA apply to our situation?</w:t>
      </w:r>
    </w:p>
    <w:p>
      <w:pPr>
        <w:spacing w:after="80" w:before="0"/>
      </w:pPr>
    </w:p>
    <w:p>
      <w:pPr>
        <w:shd w:fill="EBF2FA" w:val="clear"/>
        <w:spacing w:after="60" w:before="200"/>
        <w:ind w:left="120"/>
      </w:pPr>
      <w:r>
        <w:rPr>
          <w:rFonts w:ascii="Arial" w:cs="Arial" w:eastAsia="Arial" w:hAnsi="Arial"/>
          <w:b/>
          <w:bCs/>
          <w:color w:val="1A3557"/>
          <w:sz w:val="22"/>
          <w:szCs w:val="22"/>
        </w:rPr>
        <w:t xml:space="preserve">3C.  Election Law &amp; Campaign Finance</w:t>
      </w:r>
    </w:p>
    <w:p>
      <w:pPr>
        <w:pStyle w:val="ListParagraph"/>
        <w:numPr>
          <w:ilvl w:val="0"/>
          <w:numId w:val="2"/>
        </w:numPr>
        <w:spacing w:after="60" w:before="40"/>
      </w:pPr>
      <w:r>
        <w:rPr>
          <w:rFonts w:ascii="Arial" w:cs="Arial" w:eastAsia="Arial" w:hAnsi="Arial"/>
          <w:color w:val="111111"/>
          <w:sz w:val="22"/>
          <w:szCs w:val="22"/>
        </w:rPr>
        <w:t xml:space="preserve">Could publishing aggregated sentiment about a candidate or incumbent near an election be characterized as an “electioneering communication,” “political advertising,” or an “independent expenditure” under Washington law (RCW 42.17A)?</w:t>
      </w:r>
    </w:p>
    <w:p>
      <w:pPr>
        <w:pStyle w:val="ListParagraph"/>
        <w:numPr>
          <w:ilvl w:val="0"/>
          <w:numId w:val="2"/>
        </w:numPr>
        <w:spacing w:after="60" w:before="40"/>
      </w:pPr>
      <w:r>
        <w:rPr>
          <w:rFonts w:ascii="Arial" w:cs="Arial" w:eastAsia="Arial" w:hAnsi="Arial"/>
          <w:color w:val="111111"/>
          <w:sz w:val="22"/>
          <w:szCs w:val="22"/>
        </w:rPr>
        <w:t xml:space="preserve">Does the Washington Public Disclosure Commission (PDC) have jurisdiction over our platform or this feature? Could publishing sentiment results trigger PDC reporting requirements?</w:t>
      </w:r>
    </w:p>
    <w:p>
      <w:pPr>
        <w:pStyle w:val="ListParagraph"/>
        <w:numPr>
          <w:ilvl w:val="0"/>
          <w:numId w:val="2"/>
        </w:numPr>
        <w:spacing w:after="60" w:before="40"/>
      </w:pPr>
      <w:r>
        <w:rPr>
          <w:rFonts w:ascii="Arial" w:cs="Arial" w:eastAsia="Arial" w:hAnsi="Arial"/>
          <w:color w:val="111111"/>
          <w:sz w:val="22"/>
          <w:szCs w:val="22"/>
        </w:rPr>
        <w:t xml:space="preserve">Are there blackout periods or timing restrictions we should observe around primary or general elections?</w:t>
      </w:r>
    </w:p>
    <w:p>
      <w:pPr>
        <w:pStyle w:val="ListParagraph"/>
        <w:numPr>
          <w:ilvl w:val="0"/>
          <w:numId w:val="2"/>
        </w:numPr>
        <w:spacing w:after="60" w:before="40"/>
      </w:pPr>
      <w:r>
        <w:rPr>
          <w:rFonts w:ascii="Arial" w:cs="Arial" w:eastAsia="Arial" w:hAnsi="Arial"/>
          <w:color w:val="111111"/>
          <w:sz w:val="22"/>
          <w:szCs w:val="22"/>
        </w:rPr>
        <w:t xml:space="preserve">If CommuneUSA expands to other states, which states have the most aggressive political advertising or electioneering rules that we should be aware of at the design stage?</w:t>
      </w:r>
    </w:p>
    <w:p>
      <w:pPr>
        <w:pStyle w:val="ListParagraph"/>
        <w:numPr>
          <w:ilvl w:val="0"/>
          <w:numId w:val="2"/>
        </w:numPr>
        <w:spacing w:after="60" w:before="40"/>
      </w:pPr>
      <w:r>
        <w:rPr>
          <w:rFonts w:ascii="Arial" w:cs="Arial" w:eastAsia="Arial" w:hAnsi="Arial"/>
          <w:color w:val="111111"/>
          <w:sz w:val="22"/>
          <w:szCs w:val="22"/>
        </w:rPr>
        <w:t xml:space="preserve">Does the feature, as described, constitute a “poll” under any applicable Washington statute, and if so, does that trigger specific disclosure or methodology requirements?</w:t>
      </w:r>
    </w:p>
    <w:p>
      <w:pPr>
        <w:spacing w:after="80" w:before="0"/>
      </w:pPr>
    </w:p>
    <w:p>
      <w:pPr>
        <w:shd w:fill="EBF2FA" w:val="clear"/>
        <w:spacing w:after="60" w:before="200"/>
        <w:ind w:left="120"/>
      </w:pPr>
      <w:r>
        <w:rPr>
          <w:rFonts w:ascii="Arial" w:cs="Arial" w:eastAsia="Arial" w:hAnsi="Arial"/>
          <w:b/>
          <w:bCs/>
          <w:color w:val="1A3557"/>
          <w:sz w:val="22"/>
          <w:szCs w:val="22"/>
        </w:rPr>
        <w:t xml:space="preserve">3D.  Terms of Service &amp; User Consent</w:t>
      </w:r>
    </w:p>
    <w:p>
      <w:pPr>
        <w:pStyle w:val="ListParagraph"/>
        <w:numPr>
          <w:ilvl w:val="0"/>
          <w:numId w:val="2"/>
        </w:numPr>
        <w:spacing w:after="60" w:before="40"/>
      </w:pPr>
      <w:r>
        <w:rPr>
          <w:rFonts w:ascii="Arial" w:cs="Arial" w:eastAsia="Arial" w:hAnsi="Arial"/>
          <w:color w:val="111111"/>
          <w:sz w:val="22"/>
          <w:szCs w:val="22"/>
        </w:rPr>
        <w:t xml:space="preserve">What consent language is legally required — versus merely recommended — before collecting residency data, geolocation data, and identity verification status from users?</w:t>
      </w:r>
    </w:p>
    <w:p>
      <w:pPr>
        <w:pStyle w:val="ListParagraph"/>
        <w:numPr>
          <w:ilvl w:val="0"/>
          <w:numId w:val="2"/>
        </w:numPr>
        <w:spacing w:after="60" w:before="40"/>
      </w:pPr>
      <w:r>
        <w:rPr>
          <w:rFonts w:ascii="Arial" w:cs="Arial" w:eastAsia="Arial" w:hAnsi="Arial"/>
          <w:color w:val="111111"/>
          <w:sz w:val="22"/>
          <w:szCs w:val="22"/>
        </w:rPr>
        <w:t xml:space="preserve">For geolocation specifically: what does Washington law require us to disclose to users before collecting device location, and is a checkbox at account creation legally sufficient?</w:t>
      </w:r>
    </w:p>
    <w:p>
      <w:pPr>
        <w:pStyle w:val="ListParagraph"/>
        <w:numPr>
          <w:ilvl w:val="0"/>
          <w:numId w:val="2"/>
        </w:numPr>
        <w:spacing w:after="60" w:before="40"/>
      </w:pPr>
      <w:r>
        <w:rPr>
          <w:rFonts w:ascii="Arial" w:cs="Arial" w:eastAsia="Arial" w:hAnsi="Arial"/>
          <w:color w:val="111111"/>
          <w:sz w:val="22"/>
          <w:szCs w:val="22"/>
        </w:rPr>
        <w:t xml:space="preserve">What ToS provisions should we include to protect CommuneUSA from liability for (a) fraudulent verification submissions by users; (b) claims by officials that the sentiment data about them is harmful; (c) users who claim their data was misused?</w:t>
      </w:r>
    </w:p>
    <w:p>
      <w:pPr>
        <w:pStyle w:val="ListParagraph"/>
        <w:numPr>
          <w:ilvl w:val="0"/>
          <w:numId w:val="2"/>
        </w:numPr>
        <w:spacing w:after="60" w:before="40"/>
      </w:pPr>
      <w:r>
        <w:rPr>
          <w:rFonts w:ascii="Arial" w:cs="Arial" w:eastAsia="Arial" w:hAnsi="Arial"/>
          <w:color w:val="111111"/>
          <w:sz w:val="22"/>
          <w:szCs w:val="22"/>
        </w:rPr>
        <w:t xml:space="preserve">Are there specific “informed consent” requirements that apply because the data collected has political implications (i.e., a user’s political sentiment linked to a verified identity)?</w:t>
      </w:r>
    </w:p>
    <w:p>
      <w:pPr>
        <w:pStyle w:val="ListParagraph"/>
        <w:numPr>
          <w:ilvl w:val="0"/>
          <w:numId w:val="2"/>
        </w:numPr>
        <w:spacing w:after="60" w:before="40"/>
      </w:pPr>
      <w:r>
        <w:rPr>
          <w:rFonts w:ascii="Arial" w:cs="Arial" w:eastAsia="Arial" w:hAnsi="Arial"/>
          <w:color w:val="111111"/>
          <w:sz w:val="22"/>
          <w:szCs w:val="22"/>
        </w:rPr>
        <w:t xml:space="preserve">What are the minimum required disclosures before displaying aggregated political sentiment results to the public?</w:t>
      </w:r>
    </w:p>
    <w:p>
      <w:pPr>
        <w:spacing w:after="80" w:before="0"/>
      </w:pPr>
    </w:p>
    <w:p>
      <w:pPr>
        <w:shd w:fill="EBF2FA" w:val="clear"/>
        <w:spacing w:after="60" w:before="200"/>
        <w:ind w:left="120"/>
      </w:pPr>
      <w:r>
        <w:rPr>
          <w:rFonts w:ascii="Arial" w:cs="Arial" w:eastAsia="Arial" w:hAnsi="Arial"/>
          <w:b/>
          <w:bCs/>
          <w:color w:val="1A3557"/>
          <w:sz w:val="22"/>
          <w:szCs w:val="22"/>
        </w:rPr>
        <w:t xml:space="preserve">3E.  Third-Party Identity Verification</w:t>
      </w:r>
    </w:p>
    <w:p>
      <w:pPr>
        <w:pStyle w:val="ListParagraph"/>
        <w:numPr>
          <w:ilvl w:val="0"/>
          <w:numId w:val="2"/>
        </w:numPr>
        <w:spacing w:after="60" w:before="40"/>
      </w:pPr>
      <w:r>
        <w:rPr>
          <w:rFonts w:ascii="Arial" w:cs="Arial" w:eastAsia="Arial" w:hAnsi="Arial"/>
          <w:color w:val="111111"/>
          <w:sz w:val="22"/>
          <w:szCs w:val="22"/>
        </w:rPr>
        <w:t xml:space="preserve">If we use a provider like Stripe Identity for government ID verification: what are our data-handling obligations with respect to data the provider collects on our behalf? Does a BAA or DPA need to be in place?</w:t>
      </w:r>
    </w:p>
    <w:p>
      <w:pPr>
        <w:pStyle w:val="ListParagraph"/>
        <w:numPr>
          <w:ilvl w:val="0"/>
          <w:numId w:val="2"/>
        </w:numPr>
        <w:spacing w:after="60" w:before="40"/>
      </w:pPr>
      <w:r>
        <w:rPr>
          <w:rFonts w:ascii="Arial" w:cs="Arial" w:eastAsia="Arial" w:hAnsi="Arial"/>
          <w:color w:val="111111"/>
          <w:sz w:val="22"/>
          <w:szCs w:val="22"/>
        </w:rPr>
        <w:t xml:space="preserve">Who bears liability if the identity verification provider incorrectly verifies a user (false positive or false negative) and that leads to a fraudulent sentiment result being published?</w:t>
      </w:r>
    </w:p>
    <w:p>
      <w:pPr>
        <w:pStyle w:val="ListParagraph"/>
        <w:numPr>
          <w:ilvl w:val="0"/>
          <w:numId w:val="2"/>
        </w:numPr>
        <w:spacing w:after="60" w:before="40"/>
      </w:pPr>
      <w:r>
        <w:rPr>
          <w:rFonts w:ascii="Arial" w:cs="Arial" w:eastAsia="Arial" w:hAnsi="Arial"/>
          <w:color w:val="111111"/>
          <w:sz w:val="22"/>
          <w:szCs w:val="22"/>
        </w:rPr>
        <w:t xml:space="preserve">Are there any Washington-specific restrictions on private companies collecting government ID information from residents, even through a third-party provider?</w:t>
      </w:r>
    </w:p>
    <w:p>
      <w:pPr>
        <w:pStyle w:val="ListParagraph"/>
        <w:numPr>
          <w:ilvl w:val="0"/>
          <w:numId w:val="2"/>
        </w:numPr>
        <w:spacing w:after="60" w:before="40"/>
      </w:pPr>
      <w:r>
        <w:rPr>
          <w:rFonts w:ascii="Arial" w:cs="Arial" w:eastAsia="Arial" w:hAnsi="Arial"/>
          <w:color w:val="111111"/>
          <w:sz w:val="22"/>
          <w:szCs w:val="22"/>
        </w:rPr>
        <w:t xml:space="preserve">What contractual provisions should we require in any third-party verification vendor agreement to limit our downstream liability?</w:t>
      </w:r>
    </w:p>
    <w:p>
      <w:pPr>
        <w:spacing w:after="120" w:before="0"/>
      </w:pPr>
    </w:p>
    <w:p>
      <w:pPr>
        <w:spacing w:after="60" w:before="320"/>
      </w:pPr>
      <w:r>
        <w:rPr>
          <w:rFonts w:ascii="Arial" w:cs="Arial" w:eastAsia="Arial" w:hAnsi="Arial"/>
          <w:b/>
          <w:bCs/>
          <w:caps/>
          <w:color w:val="2E6DA4"/>
          <w:sz w:val="18"/>
          <w:szCs w:val="18"/>
        </w:rPr>
        <w:t xml:space="preserve">SECTION 4  </w:t>
      </w:r>
      <w:r>
        <w:rPr>
          <w:rFonts w:ascii="Arial" w:cs="Arial" w:eastAsia="Arial" w:hAnsi="Arial"/>
          <w:b/>
          <w:bCs/>
          <w:caps/>
          <w:color w:val="2E6DA4"/>
          <w:sz w:val="18"/>
          <w:szCs w:val="18"/>
        </w:rPr>
        <w:t xml:space="preserve">Questions to Ask the Attorney</w:t>
      </w:r>
    </w:p>
    <w:p>
      <w:pPr>
        <w:shd w:fill="1A3557" w:val="clear"/>
        <w:spacing w:after="160" w:before="80"/>
        <w:ind w:left="180" w:right="180"/>
      </w:pPr>
      <w:r>
        <w:rPr>
          <w:rFonts w:ascii="Arial" w:cs="Arial" w:eastAsia="Arial" w:hAnsi="Arial"/>
          <w:b/>
          <w:bCs/>
          <w:color w:val="FFFFFF"/>
          <w:sz w:val="28"/>
          <w:szCs w:val="28"/>
        </w:rPr>
        <w:t xml:space="preserve">DIRECT QUESTIONS FOR THE CONSULTATION</w:t>
      </w:r>
    </w:p>
    <w:p>
      <w:pPr>
        <w:spacing w:after="80" w:before="60"/>
      </w:pPr>
      <w:r>
        <w:rPr>
          <w:rFonts w:ascii="Arial" w:cs="Arial" w:eastAsia="Arial" w:hAnsi="Arial"/>
          <w:b w:val="false"/>
          <w:bCs w:val="false"/>
          <w:color w:val="111111"/>
          <w:sz w:val="22"/>
          <w:szCs w:val="22"/>
        </w:rPr>
        <w:t xml:space="preserve">These questions are written in plain language so they can be read aloud during the consultation. They map to the legal areas in Section 3.</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Privacy &amp; Data</w:t>
      </w:r>
    </w:p>
    <w:p>
      <w:pPr>
        <w:pStyle w:val="ListParagraph"/>
        <w:numPr>
          <w:ilvl w:val="0"/>
          <w:numId w:val="3"/>
        </w:numPr>
        <w:spacing w:after="80" w:before="60"/>
      </w:pPr>
      <w:r>
        <w:rPr>
          <w:rFonts w:ascii="Arial" w:cs="Arial" w:eastAsia="Arial" w:hAnsi="Arial"/>
          <w:color w:val="111111"/>
          <w:sz w:val="22"/>
          <w:szCs w:val="22"/>
        </w:rPr>
        <w:t xml:space="preserve">Does collecting a user’s home address and geolocation for the purpose of verifying residency trigger Washington’s My Health My Data Act, and if so, what do we have to do before we can store that data?</w:t>
      </w:r>
    </w:p>
    <w:p>
      <w:pPr>
        <w:pStyle w:val="ListParagraph"/>
        <w:numPr>
          <w:ilvl w:val="0"/>
          <w:numId w:val="3"/>
        </w:numPr>
        <w:spacing w:after="80" w:before="60"/>
      </w:pPr>
      <w:r>
        <w:rPr>
          <w:rFonts w:ascii="Arial" w:cs="Arial" w:eastAsia="Arial" w:hAnsi="Arial"/>
          <w:color w:val="111111"/>
          <w:sz w:val="22"/>
          <w:szCs w:val="22"/>
        </w:rPr>
        <w:t xml:space="preserve">How long are we legally allowed — or required — to keep verification data like a user’s confirmed address or their ID-verification status? Are there state-law limits or safe harbors?</w:t>
      </w:r>
    </w:p>
    <w:p>
      <w:pPr>
        <w:pStyle w:val="ListParagraph"/>
        <w:numPr>
          <w:ilvl w:val="0"/>
          <w:numId w:val="3"/>
        </w:numPr>
        <w:spacing w:after="80" w:before="60"/>
      </w:pPr>
      <w:r>
        <w:rPr>
          <w:rFonts w:ascii="Arial" w:cs="Arial" w:eastAsia="Arial" w:hAnsi="Arial"/>
          <w:color w:val="111111"/>
          <w:sz w:val="22"/>
          <w:szCs w:val="22"/>
        </w:rPr>
        <w:t xml:space="preserve">If there is a data breach and verified addresses or ID verification statuses are exposed, what do we have to do, and how quickly?</w:t>
      </w:r>
    </w:p>
    <w:p>
      <w:pPr>
        <w:pStyle w:val="ListParagraph"/>
        <w:numPr>
          <w:ilvl w:val="0"/>
          <w:numId w:val="3"/>
        </w:numPr>
        <w:spacing w:after="80" w:before="60"/>
      </w:pPr>
      <w:r>
        <w:rPr>
          <w:rFonts w:ascii="Arial" w:cs="Arial" w:eastAsia="Arial" w:hAnsi="Arial"/>
          <w:color w:val="111111"/>
          <w:sz w:val="22"/>
          <w:szCs w:val="22"/>
        </w:rPr>
        <w:t xml:space="preserve">If a user asks us to delete their data, do we have to delete their past sentiment submissions from our public-facing results, or just their account data?</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Liability</w:t>
      </w:r>
    </w:p>
    <w:p>
      <w:pPr>
        <w:pStyle w:val="ListParagraph"/>
        <w:numPr>
          <w:ilvl w:val="0"/>
          <w:numId w:val="4"/>
        </w:numPr>
        <w:spacing w:after="80" w:before="60"/>
      </w:pPr>
      <w:r>
        <w:rPr>
          <w:rFonts w:ascii="Arial" w:cs="Arial" w:eastAsia="Arial" w:hAnsi="Arial"/>
          <w:color w:val="111111"/>
          <w:sz w:val="22"/>
          <w:szCs w:val="22"/>
        </w:rPr>
        <w:t xml:space="preserve">If we display ‘210 verified residents of this district said they disapprove of this official’s vote,’ could we be sued for defamation by that official, and what is our realistic exposure?</w:t>
      </w:r>
    </w:p>
    <w:p>
      <w:pPr>
        <w:pStyle w:val="ListParagraph"/>
        <w:numPr>
          <w:ilvl w:val="0"/>
          <w:numId w:val="4"/>
        </w:numPr>
        <w:spacing w:after="80" w:before="60"/>
      </w:pPr>
      <w:r>
        <w:rPr>
          <w:rFonts w:ascii="Arial" w:cs="Arial" w:eastAsia="Arial" w:hAnsi="Arial"/>
          <w:color w:val="111111"/>
          <w:sz w:val="22"/>
          <w:szCs w:val="22"/>
        </w:rPr>
        <w:t xml:space="preserve">Does adding a clear disclaimer that results are not a representative sample of the district meaningfully reduce our legal risk? Is there specific language you would recommend?</w:t>
      </w:r>
    </w:p>
    <w:p>
      <w:pPr>
        <w:pStyle w:val="ListParagraph"/>
        <w:numPr>
          <w:ilvl w:val="0"/>
          <w:numId w:val="4"/>
        </w:numPr>
        <w:spacing w:after="80" w:before="60"/>
      </w:pPr>
      <w:r>
        <w:rPr>
          <w:rFonts w:ascii="Arial" w:cs="Arial" w:eastAsia="Arial" w:hAnsi="Arial"/>
          <w:color w:val="111111"/>
          <w:sz w:val="22"/>
          <w:szCs w:val="22"/>
        </w:rPr>
        <w:t xml:space="preserve">Does Section 230 of the federal CDA protect us from liability for sentiment responses that users fraudulently submit or that turn out to be inaccurate?</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Election Law</w:t>
      </w:r>
    </w:p>
    <w:p>
      <w:pPr>
        <w:pStyle w:val="ListParagraph"/>
        <w:numPr>
          <w:ilvl w:val="0"/>
          <w:numId w:val="5"/>
        </w:numPr>
        <w:spacing w:after="80" w:before="60"/>
      </w:pPr>
      <w:r>
        <w:rPr>
          <w:rFonts w:ascii="Arial" w:cs="Arial" w:eastAsia="Arial" w:hAnsi="Arial"/>
          <w:color w:val="111111"/>
          <w:sz w:val="22"/>
          <w:szCs w:val="22"/>
        </w:rPr>
        <w:t xml:space="preserve">At what point, if any, does publishing sentiment about a named candidate or incumbent near an election become ‘political advertising’ or an ‘electioneering communication’ under Washington law, and what would we have to do if it does?</w:t>
      </w:r>
    </w:p>
    <w:p>
      <w:pPr>
        <w:pStyle w:val="ListParagraph"/>
        <w:numPr>
          <w:ilvl w:val="0"/>
          <w:numId w:val="5"/>
        </w:numPr>
        <w:spacing w:after="80" w:before="60"/>
      </w:pPr>
      <w:r>
        <w:rPr>
          <w:rFonts w:ascii="Arial" w:cs="Arial" w:eastAsia="Arial" w:hAnsi="Arial"/>
          <w:color w:val="111111"/>
          <w:sz w:val="22"/>
          <w:szCs w:val="22"/>
        </w:rPr>
        <w:t xml:space="preserve">Do we need to register with or report anything to the Washington PDC as a result of operating this feature?</w:t>
      </w:r>
    </w:p>
    <w:p>
      <w:pPr>
        <w:pStyle w:val="ListParagraph"/>
        <w:numPr>
          <w:ilvl w:val="0"/>
          <w:numId w:val="5"/>
        </w:numPr>
        <w:spacing w:after="80" w:before="60"/>
      </w:pPr>
      <w:r>
        <w:rPr>
          <w:rFonts w:ascii="Arial" w:cs="Arial" w:eastAsia="Arial" w:hAnsi="Arial"/>
          <w:color w:val="111111"/>
          <w:sz w:val="22"/>
          <w:szCs w:val="22"/>
        </w:rPr>
        <w:t xml:space="preserve">Should we build in a blackout period around elections where we stop displaying or collecting new sentiment about candidates? If so, how long before and after an election?</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Terms of Service &amp; Consent</w:t>
      </w:r>
    </w:p>
    <w:p>
      <w:pPr>
        <w:pStyle w:val="ListParagraph"/>
        <w:numPr>
          <w:ilvl w:val="0"/>
          <w:numId w:val="6"/>
        </w:numPr>
        <w:spacing w:after="80" w:before="60"/>
      </w:pPr>
      <w:r>
        <w:rPr>
          <w:rFonts w:ascii="Arial" w:cs="Arial" w:eastAsia="Arial" w:hAnsi="Arial"/>
          <w:color w:val="111111"/>
          <w:sz w:val="22"/>
          <w:szCs w:val="22"/>
        </w:rPr>
        <w:t xml:space="preserve">What must our Terms of Service and privacy notice say — at minimum — before we collect a user’s address, geolocation, or ID verification status? Can you provide or review draft consent language?</w:t>
      </w:r>
    </w:p>
    <w:p>
      <w:pPr>
        <w:pStyle w:val="ListParagraph"/>
        <w:numPr>
          <w:ilvl w:val="0"/>
          <w:numId w:val="6"/>
        </w:numPr>
        <w:spacing w:after="80" w:before="60"/>
      </w:pPr>
      <w:r>
        <w:rPr>
          <w:rFonts w:ascii="Arial" w:cs="Arial" w:eastAsia="Arial" w:hAnsi="Arial"/>
          <w:color w:val="111111"/>
          <w:sz w:val="22"/>
          <w:szCs w:val="22"/>
        </w:rPr>
        <w:t xml:space="preserve">Before we publish aggregated political sentiment to the public, is there any disclosure or notice we are legally required to include on the results page?</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Third-Party Identity Verification</w:t>
      </w:r>
    </w:p>
    <w:p>
      <w:pPr>
        <w:pStyle w:val="ListParagraph"/>
        <w:numPr>
          <w:ilvl w:val="0"/>
          <w:numId w:val="7"/>
        </w:numPr>
        <w:spacing w:after="80" w:before="60"/>
      </w:pPr>
      <w:r>
        <w:rPr>
          <w:rFonts w:ascii="Arial" w:cs="Arial" w:eastAsia="Arial" w:hAnsi="Arial"/>
          <w:color w:val="111111"/>
          <w:sz w:val="22"/>
          <w:szCs w:val="22"/>
        </w:rPr>
        <w:t xml:space="preserve">If we use a vendor like Stripe Identity to verify government IDs, what agreement do we need in place with them, and what are our ongoing obligations with respect to the data they process on our behalf?</w:t>
      </w:r>
    </w:p>
    <w:p>
      <w:pPr>
        <w:pStyle w:val="ListParagraph"/>
        <w:numPr>
          <w:ilvl w:val="0"/>
          <w:numId w:val="7"/>
        </w:numPr>
        <w:spacing w:after="80" w:before="60"/>
      </w:pPr>
      <w:r>
        <w:rPr>
          <w:rFonts w:ascii="Arial" w:cs="Arial" w:eastAsia="Arial" w:hAnsi="Arial"/>
          <w:color w:val="111111"/>
          <w:sz w:val="22"/>
          <w:szCs w:val="22"/>
        </w:rPr>
        <w:t xml:space="preserve">If their verification system makes a mistake and we publish a fraudulent sentiment result as a result, who bears the legal exposure — us, the vendor, or both?</w:t>
      </w:r>
    </w:p>
    <w:p>
      <w:pPr>
        <w:spacing w:after="120" w:before="0"/>
      </w:pPr>
    </w:p>
    <w:p>
      <w:r>
        <w:br w:type="page"/>
      </w:r>
    </w:p>
    <w:p>
      <w:pPr>
        <w:spacing w:after="60" w:before="320"/>
      </w:pPr>
      <w:r>
        <w:rPr>
          <w:rFonts w:ascii="Arial" w:cs="Arial" w:eastAsia="Arial" w:hAnsi="Arial"/>
          <w:b/>
          <w:bCs/>
          <w:caps/>
          <w:color w:val="2E6DA4"/>
          <w:sz w:val="18"/>
          <w:szCs w:val="18"/>
        </w:rPr>
        <w:t xml:space="preserve">SECTION 5  </w:t>
      </w:r>
      <w:r>
        <w:rPr>
          <w:rFonts w:ascii="Arial" w:cs="Arial" w:eastAsia="Arial" w:hAnsi="Arial"/>
          <w:b/>
          <w:bCs/>
          <w:caps/>
          <w:color w:val="2E6DA4"/>
          <w:sz w:val="18"/>
          <w:szCs w:val="18"/>
        </w:rPr>
        <w:t xml:space="preserve">Summary &amp; Context</w:t>
      </w:r>
    </w:p>
    <w:p>
      <w:pPr>
        <w:shd w:fill="1A3557" w:val="clear"/>
        <w:spacing w:after="160" w:before="80"/>
        <w:ind w:left="180" w:right="180"/>
      </w:pPr>
      <w:r>
        <w:rPr>
          <w:rFonts w:ascii="Arial" w:cs="Arial" w:eastAsia="Arial" w:hAnsi="Arial"/>
          <w:b/>
          <w:bCs/>
          <w:color w:val="FFFFFF"/>
          <w:sz w:val="28"/>
          <w:szCs w:val="28"/>
        </w:rPr>
        <w:t xml:space="preserve">BACKGROUND &amp; NEXT STEPS</w:t>
      </w:r>
    </w:p>
    <w:p>
      <w:pPr>
        <w:pBdr>
          <w:bottom w:val="single" w:color="2E6DA4" w:sz="4" w:space="1"/>
        </w:pBdr>
        <w:spacing w:after="80" w:before="200"/>
      </w:pPr>
      <w:r>
        <w:rPr>
          <w:rFonts w:ascii="Arial" w:cs="Arial" w:eastAsia="Arial" w:hAnsi="Arial"/>
          <w:b/>
          <w:bCs/>
          <w:color w:val="1A3557"/>
          <w:sz w:val="24"/>
          <w:szCs w:val="24"/>
        </w:rPr>
        <w:t xml:space="preserve">About CommuneUSA</w:t>
      </w:r>
    </w:p>
    <w:p>
      <w:pPr>
        <w:spacing w:after="80" w:before="60"/>
      </w:pPr>
      <w:r>
        <w:rPr>
          <w:rFonts w:ascii="Arial" w:cs="Arial" w:eastAsia="Arial" w:hAnsi="Arial"/>
          <w:b w:val="false"/>
          <w:bCs w:val="false"/>
          <w:color w:val="111111"/>
          <w:sz w:val="22"/>
          <w:szCs w:val="22"/>
        </w:rPr>
        <w:t xml:space="preserve">CommuneUSA is a civic-data platform being developed to give local residents transparent, accessible information about their elected officials and local government activity. The platform is currently in development and is based in Washington State, with plans to expand nationally.</w:t>
      </w:r>
    </w:p>
    <w:p>
      <w:pPr>
        <w:spacing w:after="60" w:before="0"/>
      </w:pPr>
    </w:p>
    <w:p>
      <w:pPr>
        <w:pBdr>
          <w:bottom w:val="single" w:color="2E6DA4" w:sz="4" w:space="1"/>
        </w:pBdr>
        <w:spacing w:after="80" w:before="200"/>
      </w:pPr>
      <w:r>
        <w:rPr>
          <w:rFonts w:ascii="Arial" w:cs="Arial" w:eastAsia="Arial" w:hAnsi="Arial"/>
          <w:b/>
          <w:bCs/>
          <w:color w:val="1A3557"/>
          <w:sz w:val="24"/>
          <w:szCs w:val="24"/>
        </w:rPr>
        <w:t xml:space="preserve">Feature status</w:t>
      </w:r>
    </w:p>
    <w:p>
      <w:pPr>
        <w:pStyle w:val="ListParagraph"/>
        <w:numPr>
          <w:ilvl w:val="0"/>
          <w:numId w:val="2"/>
        </w:numPr>
        <w:spacing w:after="60" w:before="40"/>
      </w:pPr>
      <w:r>
        <w:rPr>
          <w:rFonts w:ascii="Arial" w:cs="Arial" w:eastAsia="Arial" w:hAnsi="Arial"/>
          <w:color w:val="111111"/>
          <w:sz w:val="22"/>
          <w:szCs w:val="22"/>
        </w:rPr>
        <w:t xml:space="preserve">The Local Sentiment Polling feature described in this brief is NOT yet live.</w:t>
      </w:r>
    </w:p>
    <w:p>
      <w:pPr>
        <w:pStyle w:val="ListParagraph"/>
        <w:numPr>
          <w:ilvl w:val="0"/>
          <w:numId w:val="2"/>
        </w:numPr>
        <w:spacing w:after="60" w:before="40"/>
      </w:pPr>
      <w:r>
        <w:rPr>
          <w:rFonts w:ascii="Arial" w:cs="Arial" w:eastAsia="Arial" w:hAnsi="Arial"/>
          <w:color w:val="111111"/>
          <w:sz w:val="22"/>
          <w:szCs w:val="22"/>
        </w:rPr>
        <w:t xml:space="preserve">No user data related to this feature has been collected.</w:t>
      </w:r>
    </w:p>
    <w:p>
      <w:pPr>
        <w:pStyle w:val="ListParagraph"/>
        <w:numPr>
          <w:ilvl w:val="0"/>
          <w:numId w:val="2"/>
        </w:numPr>
        <w:spacing w:after="60" w:before="40"/>
      </w:pPr>
      <w:r>
        <w:rPr>
          <w:rFonts w:ascii="Arial" w:cs="Arial" w:eastAsia="Arial" w:hAnsi="Arial"/>
          <w:color w:val="111111"/>
          <w:sz w:val="22"/>
          <w:szCs w:val="22"/>
        </w:rPr>
        <w:t xml:space="preserve">No results have been published.</w:t>
      </w:r>
    </w:p>
    <w:p>
      <w:pPr>
        <w:pStyle w:val="ListParagraph"/>
        <w:numPr>
          <w:ilvl w:val="0"/>
          <w:numId w:val="2"/>
        </w:numPr>
        <w:spacing w:after="60" w:before="40"/>
      </w:pPr>
      <w:r>
        <w:rPr>
          <w:rFonts w:ascii="Arial" w:cs="Arial" w:eastAsia="Arial" w:hAnsi="Arial"/>
          <w:color w:val="111111"/>
          <w:sz w:val="22"/>
          <w:szCs w:val="22"/>
        </w:rPr>
        <w:t xml:space="preserve">We are seeking legal guidance before finalizing the feature design, data architecture, and user-facing disclosures.</w:t>
      </w:r>
    </w:p>
    <w:p>
      <w:pPr>
        <w:spacing w:after="80" w:before="0"/>
      </w:pPr>
    </w:p>
    <w:p>
      <w:pPr>
        <w:pBdr>
          <w:bottom w:val="single" w:color="2E6DA4" w:sz="4" w:space="1"/>
        </w:pBdr>
        <w:spacing w:after="80" w:before="200"/>
      </w:pPr>
      <w:r>
        <w:rPr>
          <w:rFonts w:ascii="Arial" w:cs="Arial" w:eastAsia="Arial" w:hAnsi="Arial"/>
          <w:b/>
          <w:bCs/>
          <w:color w:val="1A3557"/>
          <w:sz w:val="24"/>
          <w:szCs w:val="24"/>
        </w:rPr>
        <w:t xml:space="preserve">Our priorities going into this consultation</w:t>
      </w:r>
    </w:p>
    <w:p>
      <w:pPr>
        <w:pStyle w:val="ListParagraph"/>
        <w:numPr>
          <w:ilvl w:val="0"/>
          <w:numId w:val="2"/>
        </w:numPr>
        <w:spacing w:after="60" w:before="40"/>
      </w:pPr>
      <w:r>
        <w:rPr>
          <w:rFonts w:ascii="Arial" w:cs="Arial" w:eastAsia="Arial" w:hAnsi="Arial"/>
          <w:color w:val="111111"/>
          <w:sz w:val="22"/>
          <w:szCs w:val="22"/>
        </w:rPr>
        <w:t xml:space="preserve">Understand the full scope of data obligations before we finalize our verification architecture.</w:t>
      </w:r>
    </w:p>
    <w:p>
      <w:pPr>
        <w:pStyle w:val="ListParagraph"/>
        <w:numPr>
          <w:ilvl w:val="0"/>
          <w:numId w:val="2"/>
        </w:numPr>
        <w:spacing w:after="60" w:before="40"/>
      </w:pPr>
      <w:r>
        <w:rPr>
          <w:rFonts w:ascii="Arial" w:cs="Arial" w:eastAsia="Arial" w:hAnsi="Arial"/>
          <w:color w:val="111111"/>
          <w:sz w:val="22"/>
          <w:szCs w:val="22"/>
        </w:rPr>
        <w:t xml:space="preserve">Identify any showstopper legal risks (features we cannot build at all as described).</w:t>
      </w:r>
    </w:p>
    <w:p>
      <w:pPr>
        <w:pStyle w:val="ListParagraph"/>
        <w:numPr>
          <w:ilvl w:val="0"/>
          <w:numId w:val="2"/>
        </w:numPr>
        <w:spacing w:after="60" w:before="40"/>
      </w:pPr>
      <w:r>
        <w:rPr>
          <w:rFonts w:ascii="Arial" w:cs="Arial" w:eastAsia="Arial" w:hAnsi="Arial"/>
          <w:color w:val="111111"/>
          <w:sz w:val="22"/>
          <w:szCs w:val="22"/>
        </w:rPr>
        <w:t xml:space="preserve">Get concrete guidance on required ToS and consent language.</w:t>
      </w:r>
    </w:p>
    <w:p>
      <w:pPr>
        <w:pStyle w:val="ListParagraph"/>
        <w:numPr>
          <w:ilvl w:val="0"/>
          <w:numId w:val="2"/>
        </w:numPr>
        <w:spacing w:after="60" w:before="40"/>
      </w:pPr>
      <w:r>
        <w:rPr>
          <w:rFonts w:ascii="Arial" w:cs="Arial" w:eastAsia="Arial" w:hAnsi="Arial"/>
          <w:color w:val="111111"/>
          <w:sz w:val="22"/>
          <w:szCs w:val="22"/>
        </w:rPr>
        <w:t xml:space="preserve">Understand what — if anything — requires ongoing compliance monitoring (PDC, MHMDA, etc.).</w:t>
      </w:r>
    </w:p>
    <w:p>
      <w:pPr>
        <w:pStyle w:val="ListParagraph"/>
        <w:numPr>
          <w:ilvl w:val="0"/>
          <w:numId w:val="2"/>
        </w:numPr>
        <w:spacing w:after="60" w:before="40"/>
      </w:pPr>
      <w:r>
        <w:rPr>
          <w:rFonts w:ascii="Arial" w:cs="Arial" w:eastAsia="Arial" w:hAnsi="Arial"/>
          <w:color w:val="111111"/>
          <w:sz w:val="22"/>
          <w:szCs w:val="22"/>
        </w:rPr>
        <w:t xml:space="preserve">Understand how our risk profile changes as we expand to additional states.</w:t>
      </w:r>
    </w:p>
    <w:p>
      <w:pPr>
        <w:spacing w:after="80" w:before="0"/>
      </w:pPr>
    </w:p>
    <w:p>
      <w:pPr>
        <w:pBdr>
          <w:bottom w:val="single" w:color="2E6DA4" w:sz="6" w:space="1"/>
        </w:pBdr>
        <w:spacing w:after="0" w:before="0"/>
      </w:pPr>
    </w:p>
    <w:p>
      <w:pPr>
        <w:spacing w:after="80" w:before="0"/>
      </w:pPr>
    </w:p>
    <w:p>
      <w:pPr>
        <w:spacing w:after="80" w:before="60"/>
      </w:pPr>
      <w:r>
        <w:rPr>
          <w:rFonts w:ascii="Arial" w:cs="Arial" w:eastAsia="Arial" w:hAnsi="Arial"/>
          <w:b w:val="false"/>
          <w:bCs w:val="false"/>
          <w:color w:val="555555"/>
          <w:sz w:val="22"/>
          <w:szCs w:val="22"/>
        </w:rPr>
        <w:t xml:space="preserve">This brief was prepared by CommuneUSA for use in a private attorney-client consultation. It is not a legal document, does not constitute legal advice, and is not intended for public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00"/>
    </w:pPr>
    <w:r>
      <w:rPr>
        <w:rFonts w:ascii="Arial" w:cs="Arial" w:eastAsia="Arial" w:hAnsi="Arial"/>
        <w:color w:val="555555"/>
        <w:sz w:val="18"/>
        <w:szCs w:val="18"/>
      </w:rPr>
      <w:t xml:space="preserve">June 2026  |  Pre-launch review  |  Not for public distribution</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spacing w:after="100" w:before="0"/>
    </w:pPr>
    <w:r>
      <w:rPr>
        <w:rFonts w:ascii="Arial" w:cs="Arial" w:eastAsia="Arial" w:hAnsi="Arial"/>
        <w:color w:val="555555"/>
        <w:sz w:val="18"/>
        <w:szCs w:val="18"/>
      </w:rPr>
      <w:t xml:space="preserve">CommuneUSA  —  Attorney Consultation Brief  —  Local Sentiment Polling</w:t>
    </w:r>
    <w:r>
      <w:rPr>
        <w:rFonts w:ascii="Arial" w:cs="Arial" w:eastAsia="Arial" w:hAnsi="Arial"/>
        <w:sz w:val="18"/>
        <w:szCs w:val="18"/>
      </w:rPr>
      <w:t xml:space="preserve">	</w:t>
    </w:r>
    <w:r>
      <w:rPr>
        <w:rFonts w:ascii="Arial" w:cs="Arial" w:eastAsia="Arial" w:hAnsi="Arial"/>
        <w:b/>
        <w:bCs/>
        <w:color w:val="2E6DA4"/>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557"/>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2026-06-25T04:18:21.790Z</dcterms:created>
  <dcterms:modified xsi:type="dcterms:W3CDTF">2026-06-25T04:18:21.790Z</dcterms:modified>
</cp:coreProperties>
</file>

<file path=docProps/custom.xml><?xml version="1.0" encoding="utf-8"?>
<Properties xmlns="http://schemas.openxmlformats.org/officeDocument/2006/custom-properties" xmlns:vt="http://schemas.openxmlformats.org/officeDocument/2006/docPropsVTypes"/>
</file>