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Accessibility Agents: Building Human-Centered AI Workflows for Trusted Accessibility Automation at Scale</w:t>
      </w:r>
    </w:p>
    <w:p>
      <w:r>
        <w:rPr/>
        <w:t>A full-day, hands-on workshop at Accessing Higher Ground 2026. Monday 16 November, 10:30 AM to 4:30 PM Mountain Time, Matchless, Hilton Denver City Center. Bring a Windows or Mac laptop, and headphones if you use a screen reader. Beginner level.</w:t>
      </w:r>
    </w:p>
    <w:p>
      <w:pPr>
        <w:pStyle w:val="Heading2"/>
      </w:pPr>
      <w:r>
        <w:t>The problem</w:t>
      </w:r>
    </w:p>
    <w:p>
      <w:r>
        <w:rPr/>
        <w:t>Higher education accessibility teams face WCAG 2.2 and the new Title II requirements with the same small staff as before. Every syllabus, slide deck, scanned reading and course page is in scope, and most of them are documents, not web pages. Nobody fixes that by working harder. The question is how to scale without losing quality, accountability or transparency.</w:t>
      </w:r>
    </w:p>
    <w:p>
      <w:pPr>
        <w:pStyle w:val="Heading2"/>
      </w:pPr>
      <w:r>
        <w:t>What you will do</w:t>
      </w:r>
    </w:p>
    <w:p>
      <w:pPr>
        <w:pStyle w:val="ListBullet"/>
      </w:pPr>
      <w:r>
        <w:rPr/>
        <w:t>Design your own accessibility agent: six plain-English answers about its role, its task, the standards it must cite, what it produces, and who reviews it. No code.</w:t>
      </w:r>
    </w:p>
    <w:p>
      <w:pPr>
        <w:pStyle w:val="ListBullet"/>
      </w:pPr>
      <w:r>
        <w:rPr/>
        <w:t>Put it to work on a realistic sample course full of planted barriers, with GitHub Copilot in VS Code or with the AI assistant you already use.</w:t>
      </w:r>
    </w:p>
    <w:p>
      <w:pPr>
        <w:pStyle w:val="ListBullet"/>
      </w:pPr>
      <w:r>
        <w:rPr/>
        <w:t>Ground it in real evidence from GLOW, axe-core and Accessibility Insights, so it cites WCAG 2.2 instead of guessing.</w:t>
      </w:r>
    </w:p>
    <w:p>
      <w:pPr>
        <w:pStyle w:val="ListBullet"/>
      </w:pPr>
      <w:r>
        <w:rPr/>
        <w:t>Build the office: add your agent to an agent team of coordinated specialists and run the team across the whole course.</w:t>
      </w:r>
    </w:p>
    <w:p>
      <w:pPr>
        <w:pStyle w:val="ListBullet"/>
      </w:pPr>
      <w:r>
        <w:rPr/>
        <w:t>Share it: add your agent to the open-source AHG 2026 collection on GitHub with one form and one button, committed in your name. At the end of the day every agent goes into the Accessibility Agents project, with its author credited.</w:t>
      </w:r>
    </w:p>
    <w:p>
      <w:pPr>
        <w:pStyle w:val="ListBullet"/>
      </w:pPr>
      <w:r>
        <w:rPr/>
        <w:t>Leave with a 30-day plan for your own campus.</w:t>
      </w:r>
    </w:p>
    <w:p>
      <w:pPr>
        <w:pStyle w:val="Heading2"/>
      </w:pPr>
      <w:r>
        <w:t>Who it is for</w:t>
      </w:r>
    </w:p>
    <w:p>
      <w:r>
        <w:rPr/>
        <w:t>Accessibility professionals, disability resource staff, alternate format producers, instructional designers, faculty developers, IT accessibility staff, and the people who lead them. You do not need to be a developer, and you do not need to have used VS Code or GitHub before.</w:t>
      </w:r>
    </w:p>
    <w:p>
      <w:pPr>
        <w:pStyle w:val="Heading2"/>
      </w:pPr>
      <w:r>
        <w:t>What you need</w:t>
      </w:r>
    </w:p>
    <w:p>
      <w:r>
        <w:rPr/>
        <w:t>A laptop, a free GitHub account for sharing your agent, and one of three paths into the same day. Every path gives you the same agent, the same team report and the same share on GitHub. letitglow.app/ahg/paths compares them and has every setup step.</w:t>
      </w:r>
    </w:p>
    <w:p>
      <w:pPr>
        <w:pStyle w:val="ListNumber"/>
        <w:numPr>
          <w:ilvl w:val="0"/>
          <w:numId w:val="10"/>
        </w:numPr>
      </w:pPr>
      <w:r>
        <w:rPr/>
        <w:t>The browser path: nothing to install. ChatGPT, Copilot on github.com, Claude, Gemini or your campus assistant, signed in, with one text per block from letitglow.app/ahg/assistant. About 10 minutes to set up.</w:t>
      </w:r>
    </w:p>
    <w:p>
      <w:pPr>
        <w:pStyle w:val="ListNumber"/>
        <w:numPr>
          <w:ilvl w:val="0"/>
          <w:numId w:val="10"/>
        </w:numPr>
      </w:pPr>
      <w:r>
        <w:rPr/>
        <w:t>VS Code on your computer: VS Code with the AHG 2026 profile, the agent kit from letitglow.app/ahg, and Copilot Free. About 25 minutes.</w:t>
      </w:r>
    </w:p>
    <w:p>
      <w:pPr>
        <w:pStyle w:val="ListNumber"/>
        <w:numPr>
          <w:ilvl w:val="0"/>
          <w:numId w:val="10"/>
        </w:numPr>
      </w:pPr>
      <w:r>
        <w:rPr/>
        <w:t>VS Code for the Web: the same VS Code and Copilot at vscode.dev, in Chrome or Edge, with the kit opened from your laptop. About 15 minutes.</w:t>
      </w:r>
    </w:p>
    <w:p>
      <w:r>
        <w:rPr/>
        <w:t>Not sure? Take the browser path. There is a setup table outside the room from 10:00 on the day.</w:t>
      </w:r>
    </w:p>
    <w:p>
      <w:pPr>
        <w:pStyle w:val="Heading2"/>
      </w:pPr>
      <w:r>
        <w:t>Learning outcomes</w:t>
      </w:r>
    </w:p>
    <w:p>
      <w:r>
        <w:rPr/>
        <w:t>By the end of the day you will be able to:</w:t>
      </w:r>
    </w:p>
    <w:p>
      <w:pPr>
        <w:pStyle w:val="ListNumber"/>
        <w:numPr>
          <w:ilvl w:val="0"/>
          <w:numId w:val="11"/>
        </w:numPr>
      </w:pPr>
      <w:r>
        <w:rPr/>
        <w:t>Describe an accessibility task as an agent: role, task, trusted guidance, output format and human review.</w:t>
      </w:r>
    </w:p>
    <w:p>
      <w:pPr>
        <w:pStyle w:val="ListNumber"/>
        <w:numPr>
          <w:ilvl w:val="0"/>
          <w:numId w:val="11"/>
        </w:numPr>
      </w:pPr>
      <w:r>
        <w:rPr/>
        <w:t>Ground an agent's answers in checker evidence and cite WCAG 2.2 criteria.</w:t>
      </w:r>
    </w:p>
    <w:p>
      <w:pPr>
        <w:pStyle w:val="ListNumber"/>
        <w:numPr>
          <w:ilvl w:val="0"/>
          <w:numId w:val="11"/>
        </w:numPr>
      </w:pPr>
      <w:r>
        <w:rPr/>
        <w:t>Name the barriers no automated checker finds, and write the human review step that catches them.</w:t>
      </w:r>
    </w:p>
    <w:p>
      <w:pPr>
        <w:pStyle w:val="ListNumber"/>
        <w:numPr>
          <w:ilvl w:val="0"/>
          <w:numId w:val="11"/>
        </w:numPr>
      </w:pPr>
      <w:r>
        <w:rPr/>
        <w:t>Explain how an agent team of specialists and a coordinator scales work across a course.</w:t>
      </w:r>
    </w:p>
    <w:p>
      <w:pPr>
        <w:pStyle w:val="ListNumber"/>
        <w:numPr>
          <w:ilvl w:val="0"/>
          <w:numId w:val="11"/>
        </w:numPr>
      </w:pPr>
      <w:r>
        <w:rPr/>
        <w:t>Contribute to an open-source project on GitHub, and see your work credited.</w:t>
      </w:r>
    </w:p>
    <w:p>
      <w:pPr>
        <w:pStyle w:val="ListNumber"/>
        <w:numPr>
          <w:ilvl w:val="0"/>
          <w:numId w:val="11"/>
        </w:numPr>
      </w:pPr>
      <w:r>
        <w:rPr/>
        <w:t>Plan one workflow to try on your own campus in the next 30 days.</w:t>
      </w:r>
    </w:p>
    <w:p>
      <w:pPr>
        <w:pStyle w:val="Heading2"/>
      </w:pPr>
      <w:r>
        <w:t>Two rules, all day</w:t>
      </w:r>
    </w:p>
    <w:p>
      <w:pPr>
        <w:pStyle w:val="ListNumber"/>
        <w:numPr>
          <w:ilvl w:val="0"/>
          <w:numId w:val="12"/>
        </w:numPr>
      </w:pPr>
      <w:r>
        <w:rPr/>
        <w:t>Never paste anything private into any AI: student records, health or disability information, or anyone's name. We use a sample course.</w:t>
      </w:r>
    </w:p>
    <w:p>
      <w:pPr>
        <w:pStyle w:val="ListNumber"/>
        <w:numPr>
          <w:ilvl w:val="0"/>
          <w:numId w:val="12"/>
        </w:numPr>
      </w:pPr>
      <w:r>
        <w:rPr/>
        <w:t>Agents draft. People decide. Every agent ends with a named person checking its work.</w:t>
      </w:r>
    </w:p>
    <w:p>
      <w:pPr>
        <w:pStyle w:val="Heading2"/>
      </w:pPr>
      <w:r>
        <w:t>Support</w:t>
      </w:r>
    </w:p>
    <w:p>
      <w:r>
        <w:rPr/>
        <w:t xml:space="preserve">Help before and after the day: </w:t>
      </w:r>
      <w:hyperlink r:id="rId10">
        <w:r>
          <w:rPr>
            <w:rStyle w:val="Hyperlink"/>
            <w:u w:val="single"/>
          </w:rPr>
          <w:t xml:space="preserve">support@community-access.org</w:t>
        </w:r>
      </w:hyperlink>
      <w:r>
        <w:rPr/>
        <w:t>. Large print, a particular seat, a pause or a repeat: ask for any of it, before or during.</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color w:val="000000"/>
        <w:sz w:val="3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lineRule="auto" w:line="276" w:before="0" w:after="240"/>
      <w:jc w:val="left"/>
    </w:pPr>
    <w:rPr>
      <w:rFonts w:ascii="Arial" w:hAnsi="Arial"/>
      <w:b w:val="0"/>
      <w:i w:val="0"/>
      <w:caps w:val="0"/>
      <w:color w:val="000000"/>
      <w:sz w:val="3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40" w:lineRule="auto" w:line="276"/>
      <w:jc w:val="left"/>
      <w:outlineLvl w:val="0"/>
    </w:pPr>
    <w:rPr>
      <w:rFonts w:asciiTheme="majorHAnsi" w:eastAsiaTheme="majorEastAsia" w:hAnsiTheme="majorHAnsi" w:cstheme="majorBidi" w:ascii="Arial" w:hAnsi="Arial"/>
      <w:b/>
      <w:bCs/>
      <w:i w:val="0"/>
      <w:caps w:val="0"/>
      <w:color w:val="000000"/>
      <w:sz w:val="44"/>
      <w:szCs w:val="28"/>
    </w:rPr>
  </w:style>
  <w:style w:type="paragraph" w:styleId="Heading2">
    <w:name w:val="heading 2"/>
    <w:basedOn w:val="Normal"/>
    <w:next w:val="Normal"/>
    <w:link w:val="Heading2Char"/>
    <w:uiPriority w:val="9"/>
    <w:unhideWhenUsed/>
    <w:qFormat/>
    <w:rsid w:val="00FC693F"/>
    <w:pPr>
      <w:keepNext/>
      <w:keepLines/>
      <w:widowControl/>
      <w:spacing w:before="320" w:after="200" w:lineRule="auto" w:line="276"/>
      <w:jc w:val="left"/>
      <w:outlineLvl w:val="1"/>
    </w:pPr>
    <w:rPr>
      <w:rFonts w:asciiTheme="majorHAnsi" w:eastAsiaTheme="majorEastAsia" w:hAnsiTheme="majorHAnsi" w:cstheme="majorBidi" w:ascii="Arial" w:hAnsi="Arial"/>
      <w:b/>
      <w:bCs/>
      <w:i w:val="0"/>
      <w:caps w:val="0"/>
      <w:color w:val="000000"/>
      <w:sz w:val="40"/>
      <w:szCs w:val="26"/>
    </w:rPr>
  </w:style>
  <w:style w:type="paragraph" w:styleId="Heading3">
    <w:name w:val="heading 3"/>
    <w:basedOn w:val="Normal"/>
    <w:next w:val="Normal"/>
    <w:link w:val="Heading3Char"/>
    <w:uiPriority w:val="9"/>
    <w:unhideWhenUsed/>
    <w:qFormat/>
    <w:rsid w:val="00FC693F"/>
    <w:pPr>
      <w:keepNext/>
      <w:keepLines/>
      <w:widowControl/>
      <w:spacing w:before="280" w:after="160" w:lineRule="auto" w:line="276"/>
      <w:jc w:val="left"/>
      <w:outlineLvl w:val="2"/>
    </w:pPr>
    <w:rPr>
      <w:rFonts w:asciiTheme="majorHAnsi" w:eastAsiaTheme="majorEastAsia" w:hAnsiTheme="majorHAnsi" w:cstheme="majorBidi" w:ascii="Arial" w:hAnsi="Arial"/>
      <w:b/>
      <w:bCs/>
      <w:i w:val="0"/>
      <w:caps w:val="0"/>
      <w:color w:val="000000"/>
      <w:sz w:val="40"/>
    </w:rPr>
  </w:style>
  <w:style w:type="paragraph" w:styleId="Heading4">
    <w:name w:val="heading 4"/>
    <w:basedOn w:val="Normal"/>
    <w:next w:val="Normal"/>
    <w:link w:val="Heading4Char"/>
    <w:uiPriority w:val="9"/>
    <w:semiHidden/>
    <w:unhideWhenUsed/>
    <w:qFormat/>
    <w:rsid w:val="00FC693F"/>
    <w:pPr>
      <w:keepNext/>
      <w:keepLines/>
      <w:widowControl/>
      <w:spacing w:before="280" w:after="160" w:lineRule="auto" w:line="276"/>
      <w:jc w:val="left"/>
      <w:outlineLvl w:val="3"/>
    </w:pPr>
    <w:rPr>
      <w:rFonts w:asciiTheme="majorHAnsi" w:eastAsiaTheme="majorEastAsia" w:hAnsiTheme="majorHAnsi" w:cstheme="majorBidi" w:ascii="Arial" w:hAnsi="Arial"/>
      <w:b/>
      <w:bCs/>
      <w:i w:val="0"/>
      <w:iCs/>
      <w:caps w:val="0"/>
      <w:color w:val="000000"/>
      <w:sz w:val="40"/>
    </w:rPr>
  </w:style>
  <w:style w:type="paragraph" w:styleId="Heading5">
    <w:name w:val="heading 5"/>
    <w:basedOn w:val="Normal"/>
    <w:next w:val="Normal"/>
    <w:link w:val="Heading5Char"/>
    <w:uiPriority w:val="9"/>
    <w:semiHidden/>
    <w:unhideWhenUsed/>
    <w:qFormat/>
    <w:rsid w:val="00FC693F"/>
    <w:pPr>
      <w:keepNext/>
      <w:keepLines/>
      <w:widowControl/>
      <w:spacing w:before="280" w:after="160" w:lineRule="auto" w:line="276"/>
      <w:jc w:val="left"/>
      <w:outlineLvl w:val="4"/>
    </w:pPr>
    <w:rPr>
      <w:rFonts w:asciiTheme="majorHAnsi" w:eastAsiaTheme="majorEastAsia" w:hAnsiTheme="majorHAnsi" w:cstheme="majorBidi" w:ascii="Arial" w:hAnsi="Arial"/>
      <w:b/>
      <w:i w:val="0"/>
      <w:caps w:val="0"/>
      <w:color w:val="000000"/>
      <w:sz w:val="40"/>
    </w:rPr>
  </w:style>
  <w:style w:type="paragraph" w:styleId="Heading6">
    <w:name w:val="heading 6"/>
    <w:basedOn w:val="Normal"/>
    <w:next w:val="Normal"/>
    <w:link w:val="Heading6Char"/>
    <w:uiPriority w:val="9"/>
    <w:semiHidden/>
    <w:unhideWhenUsed/>
    <w:qFormat/>
    <w:rsid w:val="00FC693F"/>
    <w:pPr>
      <w:keepNext/>
      <w:keepLines/>
      <w:widowControl/>
      <w:spacing w:before="280" w:after="160" w:lineRule="auto" w:line="276"/>
      <w:jc w:val="left"/>
      <w:outlineLvl w:val="5"/>
    </w:pPr>
    <w:rPr>
      <w:rFonts w:asciiTheme="majorHAnsi" w:eastAsiaTheme="majorEastAsia" w:hAnsiTheme="majorHAnsi" w:cstheme="majorBidi" w:ascii="Arial" w:hAnsi="Arial"/>
      <w:b/>
      <w:i w:val="0"/>
      <w:iCs/>
      <w:caps w:val="0"/>
      <w:color w:val="000000"/>
      <w:sz w:val="4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Next w:val="0"/>
      <w:widowControl/>
      <w:numPr>
        <w:numId w:val="1"/>
      </w:numPr>
      <w:spacing w:lineRule="auto" w:line="276" w:before="0" w:after="0"/>
      <w:ind w:left="0"/>
      <w:contextualSpacing/>
      <w:jc w:val="left"/>
    </w:pPr>
    <w:rPr>
      <w:rFonts w:ascii="Arial" w:hAnsi="Arial"/>
      <w:b w:val="0"/>
      <w:i w:val="0"/>
      <w:caps w:val="0"/>
      <w:color w:val="000000"/>
      <w:sz w:val="3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keepNext w:val="0"/>
      <w:widowControl/>
      <w:numPr>
        <w:numId w:val="5"/>
      </w:numPr>
      <w:spacing w:lineRule="auto" w:line="276" w:before="0" w:after="0"/>
      <w:ind w:left="0"/>
      <w:contextualSpacing/>
      <w:jc w:val="left"/>
    </w:pPr>
    <w:rPr>
      <w:rFonts w:ascii="Arial" w:hAnsi="Arial"/>
      <w:b w:val="0"/>
      <w:i w:val="0"/>
      <w:caps w:val="0"/>
      <w:color w:val="000000"/>
      <w:sz w:val="3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mailto:support@community-acces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Accessibility Agents: Building Human-Centered AI Workflows for Trusted Accessibility Automation at Scale</dc:title>
  <dc:subject>The AHG 2026 Accessibility Agents session description for participants.</dc:subject>
  <dc:creator>Jeff Bishop, BITS</dc:creator>
  <cp:keywords/>
  <dc:description>generated by python-docx</dc:description>
  <cp:lastModifiedBy>Jeff Bishop, BITS</cp:lastModifiedBy>
  <cp:revision>1</cp:revision>
  <dcterms:created xsi:type="dcterms:W3CDTF">2026-10-01T12:00:00Z</dcterms:created>
  <dcterms:modified xsi:type="dcterms:W3CDTF">2026-10-01T12:00:00Z</dcterms:modified>
  <cp:category/>
  <dc:language>en-US</dc:language>
</cp:coreProperties>
</file>