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>Sales rose in every region this quarter.</w:t>
      </w:r>
    </w:p>
    <w:p>
      <w:r>
        <w:t>First line of the address</w:t>
      </w:r>
      <w:r>
        <w:br/>
      </w:r>
      <w:r>
        <w:t>Second line of the address</w:t>
      </w:r>
    </w:p>
    <w:p>
      <w:pPr>
        <w:pStyle w:val="Heading2"/>
      </w:pPr>
      <w:r>
        <w:t>Highlights</w:t>
      </w:r>
    </w:p>
    <w:p>
      <w:pPr>
        <w:pStyle w:val="ListBullet"/>
      </w:pPr>
      <w:r>
        <w:t>North grew fastest</w:t>
      </w:r>
    </w:p>
    <w:p>
      <w:pPr>
        <w:pStyle w:val="ListBullet"/>
      </w:pPr>
      <w:r>
        <w:t>South held steady</w:t>
      </w:r>
    </w:p>
    <w:p>
      <w:pPr>
        <w:pStyle w:val="ListNumber"/>
      </w:pPr>
      <w:r>
        <w:t>Hire two editors</w:t>
      </w:r>
    </w:p>
    <w:p>
      <w:pPr>
        <w:pStyle w:val="ListNumber"/>
      </w:pPr>
      <w:r>
        <w:t>Open the Leeds office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Total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South | West</w:t>
            </w:r>
          </w:p>
        </w:tc>
        <w:tc>
          <w:tcPr>
            <w:tcW w:type="dxa" w:w="4320"/>
          </w:tcPr>
          <w:p>
            <w:r>
              <w:t>950</w:t>
            </w:r>
          </w:p>
        </w:tc>
      </w:tr>
    </w:tbl>
    <w:p>
      <w: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2026-10-16T12:00:00Z</dcterms:created>
  <dcterms:modified xsi:type="dcterms:W3CDTF">2026-10-16T12:00:00Z</dcterms:modified>
  <cp:category/>
</cp:coreProperties>
</file>