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ptos Display" w:hAnsi="Aptos Display"/>
          <w:b/>
          <w:color w:val="17365D"/>
          <w:sz w:val="48"/>
        </w:rPr>
        <w:t>Preliminary Dataset Inspection</w:t>
      </w:r>
    </w:p>
    <w:p>
      <w:pPr>
        <w:spacing w:after="280"/>
        <w:jc w:val="center"/>
      </w:pPr>
      <w:r>
        <w:rPr>
          <w:b/>
          <w:color w:val="464646"/>
          <w:sz w:val="24"/>
        </w:rPr>
        <w:t>UCI Individual Household Electric Power Consumption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Inspection result: </w:t>
            </w:r>
            <w:r>
              <w:t>The dataset is suitable for the planned household energy dashboard. It provides a complete one-minute time index over nearly four years, seven electrical measurements, and enough temporal detail for hourly, daily, monthly, seasonal, peak-demand, and anomaly analysis.</w:t>
            </w:r>
          </w:p>
        </w:tc>
      </w:tr>
    </w:tbl>
    <w:p>
      <w:pPr>
        <w:spacing w:after="0"/>
      </w:pPr>
    </w:p>
    <w:p>
      <w:pPr>
        <w:pStyle w:val="Heading1"/>
      </w:pPr>
      <w:r>
        <w:t>1. Dataset Download and Local Storage</w:t>
      </w:r>
    </w:p>
    <w:p>
      <w:r>
        <w:t xml:space="preserve">The selected UCI household energy dataset was successfully downloaded and is available locally as </w:t>
      </w:r>
      <w:r>
        <w:rPr>
          <w:b/>
        </w:rPr>
        <w:t>household_power_consumption.txt</w:t>
      </w:r>
      <w:r>
        <w:t>. The local file is approximately 127 MB and contains 2,075,259 observations with 9 columns. The records are semicolon-separated and sampled at one-minute intervals.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Inspection result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Local file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household_power_consumption.txt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File size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Approximately 127 MB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Rows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2,075,259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Columns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Sampling frequency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 minute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Date/time coverage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16 Dec 2006 17:24 to 26 Nov 2010 21:02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Household scope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One household in Sceaux, France</w:t>
            </w:r>
          </w:p>
        </w:tc>
      </w:tr>
    </w:tbl>
    <w:p>
      <w:pPr>
        <w:spacing w:after="0"/>
      </w:pPr>
    </w:p>
    <w:p>
      <w:pPr>
        <w:pStyle w:val="Heading1"/>
      </w:pPr>
      <w:r>
        <w:t>2. Data Schema</w:t>
      </w:r>
    </w:p>
    <w:p>
      <w:r>
        <w:t>The raw file stores date and time separately. During analysis, these two fields should be combined into a single datetime column. The seven electrical measurement fields load as numeric floating-point values when missing entries are interpreted correctly.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Loaded type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object/string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Calendar date in dd/mm/yyyy format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Time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object/string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Time of observation in hh:mm:ss format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Global_active_power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Minute-averaged household active power (kW)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Global_reactive_power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Minute-averaged household reactive power (kW)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Voltage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Minute-averaged voltage (V)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Global_intensity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Minute-averaged current intensity (A)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Sub_metering_1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Kitchen active energy (Wh)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Sub_metering_2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Laundry-room active energy (Wh)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Sub_metering_3</w:t>
            </w:r>
          </w:p>
        </w:tc>
        <w:tc>
          <w:tcPr>
            <w:tcW w:type="dxa" w:w="16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float64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Water-heater / air-conditioning active energy (Wh)</w:t>
            </w:r>
          </w:p>
        </w:tc>
      </w:tr>
    </w:tbl>
    <w:p>
      <w:pPr>
        <w:spacing w:after="0"/>
      </w:pPr>
    </w:p>
    <w:p>
      <w:pPr>
        <w:pStyle w:val="Heading1"/>
      </w:pPr>
      <w:r>
        <w:t>3. Initial Data Quality Observations</w:t>
      </w:r>
    </w:p>
    <w:p>
      <w:pPr>
        <w:pStyle w:val="Heading2"/>
      </w:pPr>
      <w:r>
        <w:t>Missing values</w:t>
      </w:r>
    </w:p>
    <w:p>
      <w:r>
        <w:t xml:space="preserve">The date and time fields contain no missing values. Each of the seven electrical measurement columns contains exactly </w:t>
      </w:r>
      <w:r>
        <w:rPr>
          <w:b/>
        </w:rPr>
        <w:t>25,979 missing values</w:t>
      </w:r>
      <w:r>
        <w:t xml:space="preserve">, equal to approximately </w:t>
      </w:r>
      <w:r>
        <w:rPr>
          <w:b/>
        </w:rPr>
        <w:t>1.252% of all rows</w:t>
      </w:r>
      <w:r>
        <w:t>. This confirms that missingness is limited and manageable, but it must be handled explicitly during preprocessing.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Missing values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Missing rate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Date and Time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0.000%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Each electrical measurement column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25,979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1.252%</w:t>
            </w:r>
          </w:p>
        </w:tc>
      </w:tr>
    </w:tbl>
    <w:p>
      <w:pPr>
        <w:spacing w:after="0"/>
      </w:pPr>
    </w:p>
    <w:p>
      <w:pPr>
        <w:pStyle w:val="Heading2"/>
      </w:pPr>
      <w:r>
        <w:t>Timestamp integrity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0 invalid timestamps after combining Date and Time.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0 duplicate timestamps.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0 gaps in the one-minute timestamp sequence between the first and last record.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All 2,075,259 expected timestamp positions are present; missingness occurs in measurement values rather than the calendar index.</w:t>
      </w:r>
    </w:p>
    <w:p>
      <w:pPr>
        <w:pStyle w:val="Heading2"/>
      </w:pPr>
      <w:r>
        <w:t>Range and potential outlier observations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 active power (kW)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1.092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0.076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11.122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 reactive power (kW)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0.124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0.000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1.390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Voltage (V)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240.840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223.200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254.150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Global intensity (A)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4.628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0.200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48.400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Sub-metering 1 (Wh)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1.122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0.000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88.000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Sub-metering 2 (Wh)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1.299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0.000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80.000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Sub-metering 3 (Wh)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6.458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0.000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31.000</w:t>
            </w:r>
          </w:p>
        </w:tc>
      </w:tr>
    </w:tbl>
    <w:p>
      <w:pPr>
        <w:spacing w:after="0"/>
      </w:pPr>
    </w:p>
    <w:p>
      <w:r>
        <w:t xml:space="preserve">An IQR-based screening of Global_active_power flags approximately </w:t>
      </w:r>
      <w:r>
        <w:rPr>
          <w:b/>
        </w:rPr>
        <w:t>94,907 observations (4.63% of valid readings)</w:t>
      </w:r>
      <w:r>
        <w:t xml:space="preserve"> as statistically unusual. These observations should not be deleted automatically. High-consumption periods may represent genuine peak demand, which is a core analytical target of the dashboard. They should be investigated and labeled as potential anomalies before any removal decision is made.</w:t>
      </w:r>
    </w:p>
    <w:p>
      <w:pPr>
        <w:pStyle w:val="Heading1"/>
      </w:pPr>
      <w:r>
        <w:t>4. Suitability for the Project</w:t>
      </w:r>
    </w:p>
    <w:p>
      <w:r>
        <w:t>The dataset is usable for the project goals. Its minute-level time series can be transformed into dashboard dimensions such as hour, day, day of week, month, year, season, and weekday/weekend. This supports interactive filtering and comparison across the time dimensions defined in the project.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goal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59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Dataset support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Explore energy consumption over time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Strong — nearly four years of minute-level observations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 by hour, day, month, and season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Strong — all dimensions can be derived from Date and Time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Highlight peak-demand periods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Strong — Global_active_power and Global_intensity capture demand spikes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Identify unusual consumption patterns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Strong — high-resolution history supports anomaly and threshold analysis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Compare household energy categories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Supported — three sub-metering variables represent kitchen, laundry, and water-heater/air-conditioning usage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Reproducible analysis</w:t>
            </w:r>
          </w:p>
        </w:tc>
        <w:tc>
          <w:tcPr>
            <w:tcW w:type="dxa" w:w="62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Strong — preprocessing and derived dimensions can be generated through documented scripts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A65C00"/>
              </w:rPr>
              <w:t xml:space="preserve">Important limitation: </w:t>
            </w:r>
            <w:r>
              <w:t>The dataset represents one household. The dashboard can compare consumption across time periods and sub-metered household areas, but it should not claim to compare multiple households or represent population-wide household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5. Recommended Preprocessing Before Dashboard Development</w:t>
      </w:r>
    </w:p>
    <w:p>
      <w:pPr>
        <w:pStyle w:val="ListBullet"/>
        <w:spacing w:after="60"/>
      </w:pPr>
      <w:r>
        <w:t>Combine Date and Time into a single Datetime field and sort chronologically.</w:t>
      </w:r>
    </w:p>
    <w:p>
      <w:pPr>
        <w:pStyle w:val="ListBullet"/>
        <w:spacing w:after="60"/>
      </w:pPr>
      <w:r>
        <w:t>Create derived fields such as Hour, Day, DayOfWeek, Month, Year, Season, and Weekday/Weekend.</w:t>
      </w:r>
    </w:p>
    <w:p>
      <w:pPr>
        <w:pStyle w:val="ListBullet"/>
        <w:spacing w:after="60"/>
      </w:pPr>
      <w:r>
        <w:t>Handle the 25,979 missing measurement rows using a documented strategy appropriate to the analysis; do not treat missing measurements as zero by default.</w:t>
      </w:r>
    </w:p>
    <w:p>
      <w:pPr>
        <w:pStyle w:val="ListBullet"/>
        <w:spacing w:after="60"/>
      </w:pPr>
      <w:r>
        <w:t>Retain extreme values initially as peak/anomaly candidates, and create hourly/daily aggregates for dashboard performance while preserving the raw one-minute data for reproducibility.</w:t>
      </w:r>
    </w:p>
    <w:p>
      <w:pPr>
        <w:pStyle w:val="Heading1"/>
      </w:pPr>
      <w:r>
        <w:t>6. Acceptance Criteria Confirmation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Downloaded and stored locally — Met. The file was confirmed and read successfully.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Data schema documented — Met. All 9 columns and loaded data types are documented.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Initial data quality observations noted — Met. Missingness, timestamp integrity, ranges, and potential outliers are documented.</w:t>
      </w:r>
    </w:p>
    <w:p>
      <w:pPr>
        <w:spacing w:after="80"/>
        <w:ind w:left="115"/>
      </w:pPr>
      <w:r>
        <w:rPr>
          <w:b/>
          <w:color w:val="277846"/>
        </w:rPr>
        <w:t xml:space="preserve">✓ </w:t>
      </w:r>
      <w:r>
        <w:t>Dataset usability confirmed — Met. The data support temporal filtering, trends, peak-demand detection, anomaly analysis, and sub-meter comparisons. The dashboard should clearly state that the analysis represents one household.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Household Energy Consumption Dashboard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