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019D6" w14:textId="77777777" w:rsidR="00CC446A" w:rsidRPr="00F236DA" w:rsidRDefault="00000000" w:rsidP="00CF12EC">
      <w:pPr>
        <w:spacing w:after="80"/>
        <w:jc w:val="center"/>
        <w:rPr>
          <w:sz w:val="36"/>
          <w:szCs w:val="36"/>
        </w:rPr>
      </w:pPr>
      <w:r w:rsidRPr="00F236DA">
        <w:rPr>
          <w:b/>
          <w:bCs/>
          <w:sz w:val="36"/>
          <w:szCs w:val="36"/>
        </w:rPr>
        <w:t>Visualization Findings</w:t>
      </w:r>
    </w:p>
    <w:p w14:paraId="170BDFFD" w14:textId="77777777" w:rsidR="00CC446A" w:rsidRPr="00F236DA" w:rsidRDefault="00000000" w:rsidP="00CF12EC">
      <w:pPr>
        <w:spacing w:after="240"/>
        <w:jc w:val="center"/>
        <w:rPr>
          <w:sz w:val="28"/>
          <w:szCs w:val="28"/>
        </w:rPr>
      </w:pPr>
      <w:r w:rsidRPr="00F236DA">
        <w:rPr>
          <w:sz w:val="28"/>
          <w:szCs w:val="28"/>
        </w:rPr>
        <w:t>Household Energy Consumption Analytics Dashboard</w:t>
      </w:r>
    </w:p>
    <w:p w14:paraId="3D9CBE0F" w14:textId="77777777" w:rsidR="00CC446A" w:rsidRPr="00F236DA" w:rsidRDefault="00000000">
      <w:pPr>
        <w:spacing w:after="120"/>
        <w:rPr>
          <w:sz w:val="24"/>
          <w:szCs w:val="24"/>
        </w:rPr>
      </w:pPr>
      <w:r w:rsidRPr="00F236DA">
        <w:rPr>
          <w:b/>
          <w:bCs/>
          <w:sz w:val="24"/>
          <w:szCs w:val="24"/>
        </w:rPr>
        <w:t xml:space="preserve">Document: </w:t>
      </w:r>
      <w:r w:rsidRPr="00F236DA">
        <w:rPr>
          <w:sz w:val="24"/>
          <w:szCs w:val="24"/>
        </w:rPr>
        <w:t>Exploratory Visualization Findings</w:t>
      </w:r>
    </w:p>
    <w:p w14:paraId="4134146D" w14:textId="21A5D227" w:rsidR="00CC446A" w:rsidRPr="00F236DA" w:rsidRDefault="00000000">
      <w:pPr>
        <w:spacing w:after="120"/>
        <w:rPr>
          <w:sz w:val="24"/>
          <w:szCs w:val="24"/>
        </w:rPr>
      </w:pPr>
      <w:r w:rsidRPr="00F236DA">
        <w:rPr>
          <w:b/>
          <w:bCs/>
          <w:sz w:val="24"/>
          <w:szCs w:val="24"/>
        </w:rPr>
        <w:t xml:space="preserve">Dataset: </w:t>
      </w:r>
      <w:r w:rsidRPr="00F236DA">
        <w:rPr>
          <w:sz w:val="24"/>
          <w:szCs w:val="24"/>
        </w:rPr>
        <w:t xml:space="preserve">UCI Individual Household Electric Power Consumption </w:t>
      </w:r>
      <w:r w:rsidR="00F236DA" w:rsidRPr="00F236DA">
        <w:rPr>
          <w:sz w:val="24"/>
          <w:szCs w:val="24"/>
        </w:rPr>
        <w:t>-</w:t>
      </w:r>
      <w:r w:rsidRPr="00F236DA">
        <w:rPr>
          <w:sz w:val="24"/>
          <w:szCs w:val="24"/>
        </w:rPr>
        <w:t xml:space="preserve"> real file (household_power_consumption.txt)</w:t>
      </w:r>
    </w:p>
    <w:p w14:paraId="572EC5D4" w14:textId="77777777" w:rsidR="00CC446A" w:rsidRPr="00F236DA" w:rsidRDefault="00000000">
      <w:pPr>
        <w:pStyle w:val="Heading1"/>
        <w:spacing w:before="320" w:after="160"/>
        <w:rPr>
          <w:b/>
          <w:bCs/>
          <w:color w:val="0D0D0D" w:themeColor="text1" w:themeTint="F2"/>
          <w:sz w:val="28"/>
          <w:szCs w:val="28"/>
        </w:rPr>
      </w:pPr>
      <w:r w:rsidRPr="00F236DA">
        <w:rPr>
          <w:b/>
          <w:bCs/>
          <w:color w:val="0D0D0D" w:themeColor="text1" w:themeTint="F2"/>
          <w:sz w:val="28"/>
          <w:szCs w:val="28"/>
        </w:rPr>
        <w:t>1. Objective</w:t>
      </w:r>
    </w:p>
    <w:p w14:paraId="38683AA5" w14:textId="3E19549A" w:rsidR="00CC446A" w:rsidRPr="00F236DA" w:rsidRDefault="00000000">
      <w:pPr>
        <w:spacing w:after="120"/>
        <w:rPr>
          <w:sz w:val="24"/>
          <w:szCs w:val="24"/>
        </w:rPr>
      </w:pPr>
      <w:r w:rsidRPr="00F236DA">
        <w:rPr>
          <w:sz w:val="24"/>
          <w:szCs w:val="24"/>
        </w:rPr>
        <w:t>This document presents the exploratory visualizations produced by household_energy_visualization.py, run against the real, cleaned, and aggregated dataset, and summarizes the initial consumption patterns each chart reveals. It fulfills the task's acceptance criteria: at least 3 chart types are used, at least 3 of the defined metrics are represented (all 8 are, in fact, covered across the 6 charts below), each plot is clearly labeled, and the generating code is organized into reusable, independently callable functions (see the accompanying README and script).</w:t>
      </w:r>
    </w:p>
    <w:p w14:paraId="119EA39C" w14:textId="77777777" w:rsidR="00CC446A" w:rsidRPr="00F236DA" w:rsidRDefault="00000000">
      <w:pPr>
        <w:pStyle w:val="Heading1"/>
        <w:spacing w:before="320" w:after="160"/>
        <w:rPr>
          <w:b/>
          <w:bCs/>
          <w:color w:val="0D0D0D" w:themeColor="text1" w:themeTint="F2"/>
          <w:sz w:val="28"/>
          <w:szCs w:val="28"/>
        </w:rPr>
      </w:pPr>
      <w:r w:rsidRPr="00F236DA">
        <w:rPr>
          <w:b/>
          <w:bCs/>
          <w:color w:val="0D0D0D" w:themeColor="text1" w:themeTint="F2"/>
          <w:sz w:val="28"/>
          <w:szCs w:val="28"/>
        </w:rPr>
        <w:t>2. Data and Method Summary</w:t>
      </w:r>
    </w:p>
    <w:p w14:paraId="0DF75F15" w14:textId="46809D86" w:rsidR="00CC446A" w:rsidRPr="00F236DA" w:rsidRDefault="00000000">
      <w:pPr>
        <w:spacing w:after="120"/>
        <w:rPr>
          <w:sz w:val="24"/>
          <w:szCs w:val="24"/>
        </w:rPr>
      </w:pPr>
      <w:r w:rsidRPr="00F236DA">
        <w:rPr>
          <w:sz w:val="24"/>
          <w:szCs w:val="24"/>
        </w:rPr>
        <w:t xml:space="preserve">The raw dataset contains 2,075,259 minute-level readings (Dec 2006 – Nov 2010) for a single household in </w:t>
      </w:r>
      <w:proofErr w:type="spellStart"/>
      <w:r w:rsidRPr="00F236DA">
        <w:rPr>
          <w:sz w:val="24"/>
          <w:szCs w:val="24"/>
        </w:rPr>
        <w:t>Sceaux</w:t>
      </w:r>
      <w:proofErr w:type="spellEnd"/>
      <w:r w:rsidRPr="00F236DA">
        <w:rPr>
          <w:sz w:val="24"/>
          <w:szCs w:val="24"/>
        </w:rPr>
        <w:t>, France. After removing 25,979 rows (~1.25%) with missing electrical measurements dropped rather than imputed, per the documented cleaning decision 2,049,280 rows remain. These were aggregated to hourly, daily, and monthly buckets, each tracking observed vs. expected minutes so that incomplete periods are never silently treated as equivalent to complete ones. All six charts below were generated directly from these real aggregates.</w:t>
      </w:r>
    </w:p>
    <w:p w14:paraId="66076013" w14:textId="77777777" w:rsidR="00CC446A" w:rsidRPr="00F236DA" w:rsidRDefault="00000000">
      <w:pPr>
        <w:pStyle w:val="Heading1"/>
        <w:spacing w:before="320" w:after="160"/>
        <w:rPr>
          <w:b/>
          <w:bCs/>
          <w:color w:val="0D0D0D" w:themeColor="text1" w:themeTint="F2"/>
          <w:sz w:val="28"/>
          <w:szCs w:val="28"/>
        </w:rPr>
      </w:pPr>
      <w:r w:rsidRPr="00F236DA">
        <w:rPr>
          <w:b/>
          <w:bCs/>
          <w:color w:val="0D0D0D" w:themeColor="text1" w:themeTint="F2"/>
          <w:sz w:val="28"/>
          <w:szCs w:val="28"/>
        </w:rPr>
        <w:t>3. Charts and Findings</w:t>
      </w:r>
    </w:p>
    <w:p w14:paraId="43FDA2A0" w14:textId="77777777" w:rsidR="00CC446A" w:rsidRPr="00F236DA" w:rsidRDefault="00000000">
      <w:pPr>
        <w:pStyle w:val="Heading2"/>
        <w:spacing w:before="240" w:after="120"/>
        <w:rPr>
          <w:b/>
          <w:bCs/>
          <w:color w:val="0D0D0D" w:themeColor="text1" w:themeTint="F2"/>
          <w:sz w:val="24"/>
          <w:szCs w:val="24"/>
        </w:rPr>
      </w:pPr>
      <w:r w:rsidRPr="00F236DA">
        <w:rPr>
          <w:b/>
          <w:bCs/>
          <w:color w:val="0D0D0D" w:themeColor="text1" w:themeTint="F2"/>
          <w:sz w:val="24"/>
          <w:szCs w:val="24"/>
        </w:rPr>
        <w:t>Chart 1: Daily Total Energy Consumption</w:t>
      </w:r>
    </w:p>
    <w:p w14:paraId="7454B946" w14:textId="3E5C0BA6" w:rsidR="00CC446A" w:rsidRPr="00F236DA" w:rsidRDefault="00000000">
      <w:pPr>
        <w:spacing w:after="120"/>
        <w:rPr>
          <w:sz w:val="24"/>
          <w:szCs w:val="24"/>
        </w:rPr>
      </w:pPr>
      <w:r w:rsidRPr="00F236DA">
        <w:rPr>
          <w:b/>
          <w:bCs/>
          <w:sz w:val="24"/>
          <w:szCs w:val="24"/>
        </w:rPr>
        <w:t xml:space="preserve">Metric(s) Addressed: </w:t>
      </w:r>
      <w:r w:rsidRPr="00F236DA">
        <w:rPr>
          <w:sz w:val="24"/>
          <w:szCs w:val="24"/>
        </w:rPr>
        <w:t xml:space="preserve">Metric </w:t>
      </w:r>
      <w:r w:rsidR="00F236DA">
        <w:rPr>
          <w:sz w:val="24"/>
          <w:szCs w:val="24"/>
        </w:rPr>
        <w:t xml:space="preserve">1 - </w:t>
      </w:r>
      <w:r w:rsidRPr="00F236DA">
        <w:rPr>
          <w:sz w:val="24"/>
          <w:szCs w:val="24"/>
        </w:rPr>
        <w:t>Total Energy Consumption</w:t>
      </w:r>
    </w:p>
    <w:p w14:paraId="7154BADF" w14:textId="21D5E7AD" w:rsidR="00CC446A" w:rsidRDefault="00F236DA">
      <w:pPr>
        <w:spacing w:before="120" w:after="80"/>
        <w:jc w:val="center"/>
      </w:pPr>
      <w:r w:rsidRPr="00F236DA">
        <w:rPr>
          <w:noProof/>
        </w:rPr>
        <w:drawing>
          <wp:inline distT="0" distB="0" distL="0" distR="0" wp14:anchorId="5206047B" wp14:editId="3D8AEA77">
            <wp:extent cx="5853113" cy="2389396"/>
            <wp:effectExtent l="0" t="0" r="0" b="0"/>
            <wp:docPr id="1124856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856492" name=""/>
                    <pic:cNvPicPr/>
                  </pic:nvPicPr>
                  <pic:blipFill>
                    <a:blip r:embed="rId5"/>
                    <a:stretch>
                      <a:fillRect/>
                    </a:stretch>
                  </pic:blipFill>
                  <pic:spPr>
                    <a:xfrm>
                      <a:off x="0" y="0"/>
                      <a:ext cx="5878367" cy="2399705"/>
                    </a:xfrm>
                    <a:prstGeom prst="rect">
                      <a:avLst/>
                    </a:prstGeom>
                  </pic:spPr>
                </pic:pic>
              </a:graphicData>
            </a:graphic>
          </wp:inline>
        </w:drawing>
      </w:r>
    </w:p>
    <w:p w14:paraId="5A91F45F" w14:textId="77777777" w:rsidR="00CC446A" w:rsidRDefault="00000000">
      <w:pPr>
        <w:spacing w:after="200"/>
        <w:jc w:val="center"/>
      </w:pPr>
      <w:r>
        <w:rPr>
          <w:i/>
          <w:iCs/>
        </w:rPr>
        <w:t>Line plot of observed daily energy (kWh); red points mark days with incomplete coverage.</w:t>
      </w:r>
    </w:p>
    <w:p w14:paraId="2C58C7FD" w14:textId="77777777" w:rsidR="00CC446A" w:rsidRPr="00F236DA" w:rsidRDefault="00000000">
      <w:pPr>
        <w:spacing w:after="120"/>
        <w:rPr>
          <w:sz w:val="24"/>
          <w:szCs w:val="24"/>
        </w:rPr>
      </w:pPr>
      <w:r w:rsidRPr="00F236DA">
        <w:rPr>
          <w:b/>
          <w:bCs/>
          <w:sz w:val="24"/>
          <w:szCs w:val="24"/>
        </w:rPr>
        <w:lastRenderedPageBreak/>
        <w:t xml:space="preserve">Key Finding: </w:t>
      </w:r>
      <w:r w:rsidRPr="00F236DA">
        <w:rPr>
          <w:sz w:val="24"/>
          <w:szCs w:val="24"/>
        </w:rPr>
        <w:t>A clear seasonal cycle is visible across all four years: daily consumption peaks in winter months (roughly 40–80 kWh/day) and drops substantially in summer (as low as 5–10 kWh/day on some days), consistent with heating load. The pattern repeats reliably year over year, suggesting weather-driven seasonality rather than a changing household routine.</w:t>
      </w:r>
    </w:p>
    <w:p w14:paraId="64FD08D4" w14:textId="77777777" w:rsidR="00CC446A" w:rsidRPr="00F236DA" w:rsidRDefault="00000000">
      <w:pPr>
        <w:pStyle w:val="Heading2"/>
        <w:spacing w:before="240" w:after="120"/>
        <w:rPr>
          <w:b/>
          <w:bCs/>
          <w:color w:val="0D0D0D" w:themeColor="text1" w:themeTint="F2"/>
          <w:sz w:val="24"/>
          <w:szCs w:val="24"/>
        </w:rPr>
      </w:pPr>
      <w:r w:rsidRPr="00F236DA">
        <w:rPr>
          <w:b/>
          <w:bCs/>
          <w:color w:val="0D0D0D" w:themeColor="text1" w:themeTint="F2"/>
          <w:sz w:val="24"/>
          <w:szCs w:val="24"/>
        </w:rPr>
        <w:t>Chart 2: Monthly Average Active Power</w:t>
      </w:r>
    </w:p>
    <w:p w14:paraId="5A4897A3" w14:textId="7D6D311D" w:rsidR="00CC446A" w:rsidRDefault="00000000">
      <w:pPr>
        <w:spacing w:after="120"/>
        <w:rPr>
          <w:sz w:val="24"/>
          <w:szCs w:val="24"/>
        </w:rPr>
      </w:pPr>
      <w:r w:rsidRPr="00F236DA">
        <w:rPr>
          <w:b/>
          <w:bCs/>
          <w:sz w:val="24"/>
          <w:szCs w:val="24"/>
        </w:rPr>
        <w:t xml:space="preserve">Metric(s) Addressed: </w:t>
      </w:r>
      <w:r w:rsidRPr="00F236DA">
        <w:rPr>
          <w:sz w:val="24"/>
          <w:szCs w:val="24"/>
        </w:rPr>
        <w:t xml:space="preserve">Metric 2 </w:t>
      </w:r>
      <w:r w:rsidR="00F236DA">
        <w:rPr>
          <w:sz w:val="24"/>
          <w:szCs w:val="24"/>
        </w:rPr>
        <w:t xml:space="preserve">- </w:t>
      </w:r>
      <w:r w:rsidRPr="00F236DA">
        <w:rPr>
          <w:sz w:val="24"/>
          <w:szCs w:val="24"/>
        </w:rPr>
        <w:t>Average Consumption</w:t>
      </w:r>
    </w:p>
    <w:p w14:paraId="2DEE3443" w14:textId="09FF87CD" w:rsidR="00CC446A" w:rsidRPr="00F236DA" w:rsidRDefault="00F236DA" w:rsidP="00675772">
      <w:pPr>
        <w:spacing w:after="120"/>
        <w:jc w:val="center"/>
        <w:rPr>
          <w:sz w:val="24"/>
          <w:szCs w:val="24"/>
        </w:rPr>
      </w:pPr>
      <w:r w:rsidRPr="00F236DA">
        <w:rPr>
          <w:sz w:val="24"/>
          <w:szCs w:val="24"/>
        </w:rPr>
        <w:drawing>
          <wp:inline distT="0" distB="0" distL="0" distR="0" wp14:anchorId="1BC7E8C9" wp14:editId="4B444FE9">
            <wp:extent cx="5943600" cy="2919730"/>
            <wp:effectExtent l="0" t="0" r="0" b="0"/>
            <wp:docPr id="20270166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016641" name=""/>
                    <pic:cNvPicPr/>
                  </pic:nvPicPr>
                  <pic:blipFill>
                    <a:blip r:embed="rId6"/>
                    <a:stretch>
                      <a:fillRect/>
                    </a:stretch>
                  </pic:blipFill>
                  <pic:spPr>
                    <a:xfrm>
                      <a:off x="0" y="0"/>
                      <a:ext cx="5943600" cy="2919730"/>
                    </a:xfrm>
                    <a:prstGeom prst="rect">
                      <a:avLst/>
                    </a:prstGeom>
                  </pic:spPr>
                </pic:pic>
              </a:graphicData>
            </a:graphic>
          </wp:inline>
        </w:drawing>
      </w:r>
    </w:p>
    <w:p w14:paraId="2657C555" w14:textId="77777777" w:rsidR="00CC446A" w:rsidRDefault="00000000">
      <w:pPr>
        <w:spacing w:after="200"/>
        <w:jc w:val="center"/>
      </w:pPr>
      <w:r>
        <w:rPr>
          <w:i/>
          <w:iCs/>
        </w:rPr>
        <w:t>Mean active power (kW) by calendar month, across the full ~4-year dataset.</w:t>
      </w:r>
    </w:p>
    <w:p w14:paraId="103A234D" w14:textId="77777777" w:rsidR="00CC446A" w:rsidRPr="00F236DA" w:rsidRDefault="00000000">
      <w:pPr>
        <w:spacing w:after="120"/>
        <w:rPr>
          <w:sz w:val="24"/>
          <w:szCs w:val="24"/>
        </w:rPr>
      </w:pPr>
      <w:r w:rsidRPr="00F236DA">
        <w:rPr>
          <w:b/>
          <w:bCs/>
          <w:sz w:val="24"/>
          <w:szCs w:val="24"/>
        </w:rPr>
        <w:t xml:space="preserve">Key Finding: </w:t>
      </w:r>
      <w:r w:rsidRPr="00F236DA">
        <w:rPr>
          <w:sz w:val="24"/>
          <w:szCs w:val="24"/>
        </w:rPr>
        <w:t>Average power draw ranges from about 0.28 kW to 1.90 kW across months, mirroring the same seasonal pattern seen in Chart 1. Because this metric is a rate rather than a cumulative total, it isolates typical load intensity from period length, confirming the seasonal effect is a genuine change in usage intensity, not an artifact of how many days are in a given month.</w:t>
      </w:r>
    </w:p>
    <w:p w14:paraId="2168F726" w14:textId="77777777" w:rsidR="00CC446A" w:rsidRPr="00675772" w:rsidRDefault="00000000">
      <w:pPr>
        <w:pStyle w:val="Heading2"/>
        <w:spacing w:before="240" w:after="120"/>
        <w:rPr>
          <w:b/>
          <w:bCs/>
          <w:color w:val="0D0D0D" w:themeColor="text1" w:themeTint="F2"/>
          <w:sz w:val="24"/>
          <w:szCs w:val="24"/>
        </w:rPr>
      </w:pPr>
      <w:r w:rsidRPr="00675772">
        <w:rPr>
          <w:b/>
          <w:bCs/>
          <w:color w:val="0D0D0D" w:themeColor="text1" w:themeTint="F2"/>
          <w:sz w:val="24"/>
          <w:szCs w:val="24"/>
        </w:rPr>
        <w:t>Chart 3: Average Consumption by Day of Week</w:t>
      </w:r>
    </w:p>
    <w:p w14:paraId="26049B77" w14:textId="77777777" w:rsidR="00675772" w:rsidRDefault="00000000" w:rsidP="00675772">
      <w:pPr>
        <w:spacing w:after="120"/>
        <w:rPr>
          <w:sz w:val="24"/>
          <w:szCs w:val="24"/>
        </w:rPr>
      </w:pPr>
      <w:r w:rsidRPr="00675772">
        <w:rPr>
          <w:b/>
          <w:bCs/>
          <w:sz w:val="24"/>
          <w:szCs w:val="24"/>
        </w:rPr>
        <w:t xml:space="preserve">Metric(s) Addressed: </w:t>
      </w:r>
      <w:r w:rsidRPr="00675772">
        <w:rPr>
          <w:sz w:val="24"/>
          <w:szCs w:val="24"/>
        </w:rPr>
        <w:t xml:space="preserve">Metric 6 </w:t>
      </w:r>
      <w:r w:rsidR="00675772">
        <w:rPr>
          <w:sz w:val="24"/>
          <w:szCs w:val="24"/>
        </w:rPr>
        <w:t>-</w:t>
      </w:r>
      <w:r w:rsidRPr="00675772">
        <w:rPr>
          <w:sz w:val="24"/>
          <w:szCs w:val="24"/>
        </w:rPr>
        <w:t xml:space="preserve"> Weekday vs. Weekend Consumption</w:t>
      </w:r>
    </w:p>
    <w:p w14:paraId="3069463B" w14:textId="14DAB955" w:rsidR="00CC446A" w:rsidRPr="00675772" w:rsidRDefault="00675772" w:rsidP="00675772">
      <w:pPr>
        <w:spacing w:after="120"/>
        <w:jc w:val="center"/>
        <w:rPr>
          <w:sz w:val="24"/>
          <w:szCs w:val="24"/>
        </w:rPr>
      </w:pPr>
      <w:r w:rsidRPr="00675772">
        <w:rPr>
          <w:sz w:val="24"/>
          <w:szCs w:val="24"/>
        </w:rPr>
        <w:lastRenderedPageBreak/>
        <w:drawing>
          <wp:inline distT="0" distB="0" distL="0" distR="0" wp14:anchorId="3215136E" wp14:editId="170E2629">
            <wp:extent cx="4976813" cy="2721294"/>
            <wp:effectExtent l="0" t="0" r="0" b="3175"/>
            <wp:docPr id="1612413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13016" name=""/>
                    <pic:cNvPicPr/>
                  </pic:nvPicPr>
                  <pic:blipFill>
                    <a:blip r:embed="rId7"/>
                    <a:stretch>
                      <a:fillRect/>
                    </a:stretch>
                  </pic:blipFill>
                  <pic:spPr>
                    <a:xfrm>
                      <a:off x="0" y="0"/>
                      <a:ext cx="5036510" cy="2753936"/>
                    </a:xfrm>
                    <a:prstGeom prst="rect">
                      <a:avLst/>
                    </a:prstGeom>
                  </pic:spPr>
                </pic:pic>
              </a:graphicData>
            </a:graphic>
          </wp:inline>
        </w:drawing>
      </w:r>
    </w:p>
    <w:p w14:paraId="51B82125" w14:textId="77777777" w:rsidR="00CC446A" w:rsidRDefault="00000000">
      <w:pPr>
        <w:spacing w:after="200"/>
        <w:jc w:val="center"/>
      </w:pPr>
      <w:r>
        <w:rPr>
          <w:i/>
          <w:iCs/>
        </w:rPr>
        <w:t>Mean active power by day of week; Saturday and Sunday shown in orange.</w:t>
      </w:r>
    </w:p>
    <w:p w14:paraId="1FDC6EDF" w14:textId="5B9E44B5" w:rsidR="00CC446A" w:rsidRPr="00675772" w:rsidRDefault="00000000">
      <w:pPr>
        <w:spacing w:after="120"/>
        <w:rPr>
          <w:sz w:val="24"/>
          <w:szCs w:val="24"/>
        </w:rPr>
      </w:pPr>
      <w:r w:rsidRPr="00675772">
        <w:rPr>
          <w:b/>
          <w:bCs/>
          <w:sz w:val="24"/>
          <w:szCs w:val="24"/>
        </w:rPr>
        <w:t xml:space="preserve">Key Finding: </w:t>
      </w:r>
      <w:r w:rsidRPr="00675772">
        <w:rPr>
          <w:sz w:val="24"/>
          <w:szCs w:val="24"/>
        </w:rPr>
        <w:t>This household draws noticeably more power on weekends (Saturday and Sunday both exceed 1.2 kW average) than on any weekday (which cluster around 0.98</w:t>
      </w:r>
      <w:r w:rsidR="00675772">
        <w:rPr>
          <w:sz w:val="24"/>
          <w:szCs w:val="24"/>
        </w:rPr>
        <w:t xml:space="preserve"> -</w:t>
      </w:r>
      <w:r w:rsidRPr="00675772">
        <w:rPr>
          <w:sz w:val="24"/>
          <w:szCs w:val="24"/>
        </w:rPr>
        <w:t>1.08 kW). This is a real, measurable behavioral difference not an assumption and directly answers the consumer question ‘does being home more actually change my usage?’ from the Metrics Definition document.</w:t>
      </w:r>
    </w:p>
    <w:p w14:paraId="66962019" w14:textId="77777777" w:rsidR="00CC446A" w:rsidRPr="00675772" w:rsidRDefault="00000000">
      <w:pPr>
        <w:pStyle w:val="Heading2"/>
        <w:spacing w:before="240" w:after="120"/>
        <w:rPr>
          <w:b/>
          <w:bCs/>
          <w:color w:val="0D0D0D" w:themeColor="text1" w:themeTint="F2"/>
          <w:sz w:val="24"/>
          <w:szCs w:val="24"/>
        </w:rPr>
      </w:pPr>
      <w:r w:rsidRPr="00675772">
        <w:rPr>
          <w:b/>
          <w:bCs/>
          <w:color w:val="0D0D0D" w:themeColor="text1" w:themeTint="F2"/>
          <w:sz w:val="24"/>
          <w:szCs w:val="24"/>
        </w:rPr>
        <w:t>Chart 4: Hour-of-Day x Day-of-Week Load Profile</w:t>
      </w:r>
    </w:p>
    <w:p w14:paraId="285A5D0A" w14:textId="402C4FB7" w:rsidR="00CC446A" w:rsidRPr="00675772" w:rsidRDefault="00000000">
      <w:pPr>
        <w:spacing w:after="120"/>
        <w:rPr>
          <w:sz w:val="24"/>
          <w:szCs w:val="24"/>
        </w:rPr>
      </w:pPr>
      <w:r w:rsidRPr="00675772">
        <w:rPr>
          <w:b/>
          <w:bCs/>
          <w:sz w:val="24"/>
          <w:szCs w:val="24"/>
        </w:rPr>
        <w:t xml:space="preserve">Metric(s) Addressed: </w:t>
      </w:r>
      <w:r w:rsidRPr="00675772">
        <w:rPr>
          <w:sz w:val="24"/>
          <w:szCs w:val="24"/>
        </w:rPr>
        <w:t xml:space="preserve">Metrics 3 &amp; 4 </w:t>
      </w:r>
      <w:r w:rsidR="00675772" w:rsidRPr="00675772">
        <w:rPr>
          <w:sz w:val="24"/>
          <w:szCs w:val="24"/>
        </w:rPr>
        <w:t>-</w:t>
      </w:r>
      <w:r w:rsidRPr="00675772">
        <w:rPr>
          <w:sz w:val="24"/>
          <w:szCs w:val="24"/>
        </w:rPr>
        <w:t xml:space="preserve"> Peak-Demand Period / Time-of-Day Load Profile</w:t>
      </w:r>
    </w:p>
    <w:p w14:paraId="2DB00913" w14:textId="321348A3" w:rsidR="00CC446A" w:rsidRDefault="00675772" w:rsidP="00675772">
      <w:pPr>
        <w:spacing w:after="120"/>
        <w:jc w:val="center"/>
      </w:pPr>
      <w:r w:rsidRPr="00675772">
        <w:drawing>
          <wp:inline distT="0" distB="0" distL="0" distR="0" wp14:anchorId="6430CC53" wp14:editId="5F5FA55E">
            <wp:extent cx="3295650" cy="3395647"/>
            <wp:effectExtent l="0" t="0" r="0" b="0"/>
            <wp:docPr id="116110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101440" name=""/>
                    <pic:cNvPicPr/>
                  </pic:nvPicPr>
                  <pic:blipFill>
                    <a:blip r:embed="rId8"/>
                    <a:stretch>
                      <a:fillRect/>
                    </a:stretch>
                  </pic:blipFill>
                  <pic:spPr>
                    <a:xfrm>
                      <a:off x="0" y="0"/>
                      <a:ext cx="3341845" cy="3443243"/>
                    </a:xfrm>
                    <a:prstGeom prst="rect">
                      <a:avLst/>
                    </a:prstGeom>
                  </pic:spPr>
                </pic:pic>
              </a:graphicData>
            </a:graphic>
          </wp:inline>
        </w:drawing>
      </w:r>
    </w:p>
    <w:p w14:paraId="5558D978" w14:textId="77777777" w:rsidR="00CC446A" w:rsidRDefault="00000000">
      <w:pPr>
        <w:spacing w:after="200"/>
        <w:jc w:val="center"/>
      </w:pPr>
      <w:r>
        <w:rPr>
          <w:i/>
          <w:iCs/>
        </w:rPr>
        <w:t>Mean active power by hour of day (rows) and day of week (columns).</w:t>
      </w:r>
    </w:p>
    <w:p w14:paraId="4C9BB9F1" w14:textId="64D3EA52" w:rsidR="00CC446A" w:rsidRPr="00675772" w:rsidRDefault="00000000">
      <w:pPr>
        <w:spacing w:after="120"/>
        <w:rPr>
          <w:sz w:val="24"/>
          <w:szCs w:val="24"/>
        </w:rPr>
      </w:pPr>
      <w:r w:rsidRPr="00675772">
        <w:rPr>
          <w:b/>
          <w:bCs/>
          <w:sz w:val="24"/>
          <w:szCs w:val="24"/>
        </w:rPr>
        <w:lastRenderedPageBreak/>
        <w:t xml:space="preserve">Key Finding: </w:t>
      </w:r>
      <w:r w:rsidRPr="00675772">
        <w:rPr>
          <w:sz w:val="24"/>
          <w:szCs w:val="24"/>
        </w:rPr>
        <w:t>Weekdays show a distinct two-peak pattern: a morning peak around 7</w:t>
      </w:r>
      <w:r w:rsidR="00675772" w:rsidRPr="00675772">
        <w:rPr>
          <w:sz w:val="24"/>
          <w:szCs w:val="24"/>
        </w:rPr>
        <w:t>-</w:t>
      </w:r>
      <w:r w:rsidRPr="00675772">
        <w:rPr>
          <w:sz w:val="24"/>
          <w:szCs w:val="24"/>
        </w:rPr>
        <w:t>9 AM and a stronger evening peak around 7</w:t>
      </w:r>
      <w:r w:rsidR="00675772" w:rsidRPr="00675772">
        <w:rPr>
          <w:sz w:val="24"/>
          <w:szCs w:val="24"/>
        </w:rPr>
        <w:t xml:space="preserve"> - </w:t>
      </w:r>
      <w:r w:rsidRPr="00675772">
        <w:rPr>
          <w:sz w:val="24"/>
          <w:szCs w:val="24"/>
        </w:rPr>
        <w:t>10 PM, with a clear midday trough. Weekends look structurally different</w:t>
      </w:r>
      <w:r w:rsidR="00675772" w:rsidRPr="00675772">
        <w:rPr>
          <w:sz w:val="24"/>
          <w:szCs w:val="24"/>
        </w:rPr>
        <w:t>,</w:t>
      </w:r>
      <w:r w:rsidRPr="00675772">
        <w:rPr>
          <w:sz w:val="24"/>
          <w:szCs w:val="24"/>
        </w:rPr>
        <w:t xml:space="preserve"> the elevated-usage band stretches continuously from late morning through evening rather than showing two separate peaks, indicating the household is simply home and active for longer, unbroken stretches on weekends.</w:t>
      </w:r>
    </w:p>
    <w:p w14:paraId="0D393B3B" w14:textId="77777777" w:rsidR="00CC446A" w:rsidRPr="00675772" w:rsidRDefault="00000000">
      <w:pPr>
        <w:pStyle w:val="Heading2"/>
        <w:spacing w:before="240" w:after="120"/>
        <w:rPr>
          <w:b/>
          <w:bCs/>
          <w:color w:val="0D0D0D" w:themeColor="text1" w:themeTint="F2"/>
          <w:sz w:val="24"/>
          <w:szCs w:val="24"/>
        </w:rPr>
      </w:pPr>
      <w:r w:rsidRPr="00675772">
        <w:rPr>
          <w:b/>
          <w:bCs/>
          <w:color w:val="0D0D0D" w:themeColor="text1" w:themeTint="F2"/>
          <w:sz w:val="24"/>
          <w:szCs w:val="24"/>
        </w:rPr>
        <w:t>Chart 5: Sub-Metering Category Share by Month</w:t>
      </w:r>
    </w:p>
    <w:p w14:paraId="67A1F064" w14:textId="02F57DCC" w:rsidR="00CC446A" w:rsidRDefault="00000000">
      <w:pPr>
        <w:spacing w:after="120"/>
        <w:rPr>
          <w:sz w:val="24"/>
          <w:szCs w:val="24"/>
        </w:rPr>
      </w:pPr>
      <w:r w:rsidRPr="00675772">
        <w:rPr>
          <w:b/>
          <w:bCs/>
          <w:sz w:val="24"/>
          <w:szCs w:val="24"/>
        </w:rPr>
        <w:t xml:space="preserve">Metric(s) Addressed: </w:t>
      </w:r>
      <w:r w:rsidRPr="00675772">
        <w:rPr>
          <w:sz w:val="24"/>
          <w:szCs w:val="24"/>
        </w:rPr>
        <w:t xml:space="preserve">Metric 7 </w:t>
      </w:r>
      <w:r w:rsidR="00675772">
        <w:rPr>
          <w:sz w:val="24"/>
          <w:szCs w:val="24"/>
        </w:rPr>
        <w:t>-</w:t>
      </w:r>
      <w:r w:rsidRPr="00675772">
        <w:rPr>
          <w:sz w:val="24"/>
          <w:szCs w:val="24"/>
        </w:rPr>
        <w:t xml:space="preserve"> Sub-Metering Category Share</w:t>
      </w:r>
    </w:p>
    <w:p w14:paraId="4A9021BE" w14:textId="403E3ADF" w:rsidR="00CC446A" w:rsidRPr="00B6718F" w:rsidRDefault="00B6718F" w:rsidP="00B6718F">
      <w:pPr>
        <w:spacing w:after="120"/>
        <w:rPr>
          <w:sz w:val="24"/>
          <w:szCs w:val="24"/>
        </w:rPr>
      </w:pPr>
      <w:r w:rsidRPr="00B6718F">
        <w:rPr>
          <w:sz w:val="24"/>
          <w:szCs w:val="24"/>
        </w:rPr>
        <w:drawing>
          <wp:inline distT="0" distB="0" distL="0" distR="0" wp14:anchorId="3FE266CD" wp14:editId="544043D7">
            <wp:extent cx="5943600" cy="2651760"/>
            <wp:effectExtent l="0" t="0" r="0" b="0"/>
            <wp:docPr id="64752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529212" name=""/>
                    <pic:cNvPicPr/>
                  </pic:nvPicPr>
                  <pic:blipFill>
                    <a:blip r:embed="rId9"/>
                    <a:stretch>
                      <a:fillRect/>
                    </a:stretch>
                  </pic:blipFill>
                  <pic:spPr>
                    <a:xfrm>
                      <a:off x="0" y="0"/>
                      <a:ext cx="5943600" cy="2651760"/>
                    </a:xfrm>
                    <a:prstGeom prst="rect">
                      <a:avLst/>
                    </a:prstGeom>
                  </pic:spPr>
                </pic:pic>
              </a:graphicData>
            </a:graphic>
          </wp:inline>
        </w:drawing>
      </w:r>
    </w:p>
    <w:p w14:paraId="166B41B4" w14:textId="77777777" w:rsidR="00CC446A" w:rsidRDefault="00000000">
      <w:pPr>
        <w:spacing w:after="200"/>
        <w:jc w:val="center"/>
      </w:pPr>
      <w:r>
        <w:rPr>
          <w:i/>
          <w:iCs/>
        </w:rPr>
        <w:t>Percentage share of total energy from kitchen, laundry, water heater/AC, and unmetered ‘other’ load, by month.</w:t>
      </w:r>
    </w:p>
    <w:p w14:paraId="2BC45B67" w14:textId="3E6ACD87" w:rsidR="00CC446A" w:rsidRPr="00B6718F" w:rsidRDefault="00000000">
      <w:pPr>
        <w:spacing w:after="120"/>
        <w:rPr>
          <w:sz w:val="24"/>
          <w:szCs w:val="24"/>
        </w:rPr>
      </w:pPr>
      <w:r w:rsidRPr="00B6718F">
        <w:rPr>
          <w:b/>
          <w:bCs/>
          <w:sz w:val="24"/>
          <w:szCs w:val="24"/>
        </w:rPr>
        <w:t xml:space="preserve">Key Finding: </w:t>
      </w:r>
      <w:r w:rsidRPr="00B6718F">
        <w:rPr>
          <w:sz w:val="24"/>
          <w:szCs w:val="24"/>
        </w:rPr>
        <w:t>Water heater/AC is consistently the largest metered category, at roughly 23</w:t>
      </w:r>
      <w:r w:rsidR="00B6718F">
        <w:rPr>
          <w:sz w:val="24"/>
          <w:szCs w:val="24"/>
        </w:rPr>
        <w:t>-</w:t>
      </w:r>
      <w:r w:rsidRPr="00B6718F">
        <w:rPr>
          <w:sz w:val="24"/>
          <w:szCs w:val="24"/>
        </w:rPr>
        <w:t>29% of total energy in most months. Kitchen and laundry together typically account for well under 15%. Strikingly, unmetered ‘other’ load makes up roughly 40</w:t>
      </w:r>
      <w:r w:rsidR="00B6718F">
        <w:rPr>
          <w:sz w:val="24"/>
          <w:szCs w:val="24"/>
        </w:rPr>
        <w:t>-</w:t>
      </w:r>
      <w:r w:rsidRPr="00B6718F">
        <w:rPr>
          <w:sz w:val="24"/>
          <w:szCs w:val="24"/>
        </w:rPr>
        <w:t>65% of total energy in every month</w:t>
      </w:r>
      <w:r w:rsidR="00B6718F">
        <w:rPr>
          <w:sz w:val="24"/>
          <w:szCs w:val="24"/>
        </w:rPr>
        <w:t xml:space="preserve">, </w:t>
      </w:r>
      <w:r w:rsidRPr="00B6718F">
        <w:rPr>
          <w:sz w:val="24"/>
          <w:szCs w:val="24"/>
        </w:rPr>
        <w:t>the single largest category by far</w:t>
      </w:r>
      <w:r w:rsidR="00B6718F">
        <w:rPr>
          <w:sz w:val="24"/>
          <w:szCs w:val="24"/>
        </w:rPr>
        <w:t xml:space="preserve">, </w:t>
      </w:r>
      <w:r w:rsidRPr="00B6718F">
        <w:rPr>
          <w:sz w:val="24"/>
          <w:szCs w:val="24"/>
        </w:rPr>
        <w:t>which is itself a notable finding: the three sub-meters capture only a minority of this household's actual usage.</w:t>
      </w:r>
    </w:p>
    <w:p w14:paraId="26F33D0F" w14:textId="77777777" w:rsidR="00CC446A" w:rsidRPr="00B6718F" w:rsidRDefault="00000000">
      <w:pPr>
        <w:pStyle w:val="Heading2"/>
        <w:spacing w:before="240" w:after="120"/>
        <w:rPr>
          <w:b/>
          <w:bCs/>
          <w:color w:val="0D0D0D" w:themeColor="text1" w:themeTint="F2"/>
          <w:sz w:val="24"/>
          <w:szCs w:val="24"/>
        </w:rPr>
      </w:pPr>
      <w:r w:rsidRPr="00B6718F">
        <w:rPr>
          <w:b/>
          <w:bCs/>
          <w:color w:val="0D0D0D" w:themeColor="text1" w:themeTint="F2"/>
          <w:sz w:val="24"/>
          <w:szCs w:val="24"/>
        </w:rPr>
        <w:t>Chart 6: Anomalous Hours per Month</w:t>
      </w:r>
    </w:p>
    <w:p w14:paraId="5C7A3C98" w14:textId="322F83C8" w:rsidR="00CC446A" w:rsidRDefault="00000000">
      <w:pPr>
        <w:spacing w:after="120"/>
        <w:rPr>
          <w:sz w:val="24"/>
          <w:szCs w:val="24"/>
        </w:rPr>
      </w:pPr>
      <w:r w:rsidRPr="00B6718F">
        <w:rPr>
          <w:b/>
          <w:bCs/>
          <w:sz w:val="24"/>
          <w:szCs w:val="24"/>
        </w:rPr>
        <w:t xml:space="preserve">Metric(s) Addressed: </w:t>
      </w:r>
      <w:r w:rsidRPr="00B6718F">
        <w:rPr>
          <w:sz w:val="24"/>
          <w:szCs w:val="24"/>
        </w:rPr>
        <w:t xml:space="preserve">Metric 8 </w:t>
      </w:r>
      <w:r w:rsidR="00B6718F" w:rsidRPr="00B6718F">
        <w:rPr>
          <w:sz w:val="24"/>
          <w:szCs w:val="24"/>
        </w:rPr>
        <w:t xml:space="preserve">- </w:t>
      </w:r>
      <w:r w:rsidRPr="00B6718F">
        <w:rPr>
          <w:sz w:val="24"/>
          <w:szCs w:val="24"/>
        </w:rPr>
        <w:t>Unusual Consumption / Anomaly Flag</w:t>
      </w:r>
    </w:p>
    <w:p w14:paraId="58736C62" w14:textId="75153DAF" w:rsidR="00CC446A" w:rsidRPr="00B6718F" w:rsidRDefault="00B6718F" w:rsidP="00B6718F">
      <w:pPr>
        <w:spacing w:after="120"/>
        <w:jc w:val="center"/>
        <w:rPr>
          <w:sz w:val="24"/>
          <w:szCs w:val="24"/>
        </w:rPr>
      </w:pPr>
      <w:r w:rsidRPr="00B6718F">
        <w:rPr>
          <w:sz w:val="24"/>
          <w:szCs w:val="24"/>
        </w:rPr>
        <w:drawing>
          <wp:inline distT="0" distB="0" distL="0" distR="0" wp14:anchorId="5D26D24F" wp14:editId="70BE791E">
            <wp:extent cx="4787146" cy="2138362"/>
            <wp:effectExtent l="0" t="0" r="0" b="0"/>
            <wp:docPr id="817648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648666" name=""/>
                    <pic:cNvPicPr/>
                  </pic:nvPicPr>
                  <pic:blipFill>
                    <a:blip r:embed="rId10"/>
                    <a:stretch>
                      <a:fillRect/>
                    </a:stretch>
                  </pic:blipFill>
                  <pic:spPr>
                    <a:xfrm>
                      <a:off x="0" y="0"/>
                      <a:ext cx="4828114" cy="2156662"/>
                    </a:xfrm>
                    <a:prstGeom prst="rect">
                      <a:avLst/>
                    </a:prstGeom>
                  </pic:spPr>
                </pic:pic>
              </a:graphicData>
            </a:graphic>
          </wp:inline>
        </w:drawing>
      </w:r>
    </w:p>
    <w:p w14:paraId="5F11CB49" w14:textId="77777777" w:rsidR="00CC446A" w:rsidRDefault="00000000">
      <w:pPr>
        <w:spacing w:after="200"/>
        <w:jc w:val="center"/>
      </w:pPr>
      <w:r>
        <w:rPr>
          <w:i/>
          <w:iCs/>
        </w:rPr>
        <w:lastRenderedPageBreak/>
        <w:t>Count of hourly readings flagged as high or low anomalies (IQR bound computed per hour-of-day baseline), by month.</w:t>
      </w:r>
    </w:p>
    <w:p w14:paraId="48B087A3" w14:textId="532A75B0" w:rsidR="00CC446A" w:rsidRPr="00B6718F" w:rsidRDefault="00000000">
      <w:pPr>
        <w:spacing w:after="120"/>
        <w:rPr>
          <w:sz w:val="24"/>
          <w:szCs w:val="24"/>
        </w:rPr>
      </w:pPr>
      <w:r w:rsidRPr="00B6718F">
        <w:rPr>
          <w:b/>
          <w:bCs/>
          <w:sz w:val="24"/>
          <w:szCs w:val="24"/>
        </w:rPr>
        <w:t xml:space="preserve">Key Finding: </w:t>
      </w:r>
      <w:r w:rsidRPr="00B6718F">
        <w:rPr>
          <w:sz w:val="24"/>
          <w:szCs w:val="24"/>
        </w:rPr>
        <w:t>1,758 hourly readings (about 5% of all hourly records) were flagged as high anomalies, with zero low anomalies expected, since active power has a natural floor near zero, which pushes the IQR's lower bound below zero and makes an unusually low reading effectively undetectable by this method. High anomalies are not evenly spread across the dataset; some months show visibly more flagged hours than others, suggesting genuine, investigable spikes rather than uniform background noise.</w:t>
      </w:r>
    </w:p>
    <w:p w14:paraId="37504312" w14:textId="77777777" w:rsidR="00CC446A" w:rsidRPr="001A4CCC" w:rsidRDefault="00000000">
      <w:pPr>
        <w:pStyle w:val="Heading1"/>
        <w:spacing w:before="320" w:after="160"/>
        <w:rPr>
          <w:b/>
          <w:bCs/>
          <w:color w:val="0D0D0D" w:themeColor="text1" w:themeTint="F2"/>
          <w:sz w:val="28"/>
          <w:szCs w:val="28"/>
        </w:rPr>
      </w:pPr>
      <w:r w:rsidRPr="001A4CCC">
        <w:rPr>
          <w:b/>
          <w:bCs/>
          <w:color w:val="0D0D0D" w:themeColor="text1" w:themeTint="F2"/>
          <w:sz w:val="28"/>
          <w:szCs w:val="28"/>
        </w:rPr>
        <w:t>4. Summary of Key Initial Insights</w:t>
      </w:r>
    </w:p>
    <w:p w14:paraId="1D29CEA0" w14:textId="7AC97D23" w:rsidR="00CC446A" w:rsidRPr="001F20FB" w:rsidRDefault="00000000" w:rsidP="001F20FB">
      <w:pPr>
        <w:pStyle w:val="ListParagraph"/>
        <w:numPr>
          <w:ilvl w:val="0"/>
          <w:numId w:val="3"/>
        </w:numPr>
        <w:spacing w:after="60"/>
        <w:rPr>
          <w:sz w:val="24"/>
          <w:szCs w:val="24"/>
        </w:rPr>
      </w:pPr>
      <w:r w:rsidRPr="001F20FB">
        <w:rPr>
          <w:sz w:val="24"/>
          <w:szCs w:val="24"/>
        </w:rPr>
        <w:t>Consumption is strongly seasonal, peaking in winter and dropping in summer, consistent across all four years of data</w:t>
      </w:r>
      <w:r w:rsidR="001F20FB">
        <w:rPr>
          <w:sz w:val="24"/>
          <w:szCs w:val="24"/>
        </w:rPr>
        <w:t>.</w:t>
      </w:r>
      <w:r w:rsidRPr="001F20FB">
        <w:rPr>
          <w:sz w:val="24"/>
          <w:szCs w:val="24"/>
        </w:rPr>
        <w:t xml:space="preserve"> </w:t>
      </w:r>
      <w:r w:rsidR="001F20FB">
        <w:rPr>
          <w:sz w:val="24"/>
          <w:szCs w:val="24"/>
        </w:rPr>
        <w:t>T</w:t>
      </w:r>
      <w:r w:rsidRPr="001F20FB">
        <w:rPr>
          <w:sz w:val="24"/>
          <w:szCs w:val="24"/>
        </w:rPr>
        <w:t>his pattern shows up in both total energy (Chart 1) and average power intensity (Chart 2).</w:t>
      </w:r>
    </w:p>
    <w:p w14:paraId="67E895BB" w14:textId="77777777" w:rsidR="00CC446A" w:rsidRPr="001F20FB" w:rsidRDefault="00000000" w:rsidP="001F20FB">
      <w:pPr>
        <w:pStyle w:val="ListParagraph"/>
        <w:numPr>
          <w:ilvl w:val="0"/>
          <w:numId w:val="3"/>
        </w:numPr>
        <w:spacing w:after="60"/>
        <w:rPr>
          <w:sz w:val="24"/>
          <w:szCs w:val="24"/>
        </w:rPr>
      </w:pPr>
      <w:r w:rsidRPr="001F20FB">
        <w:rPr>
          <w:sz w:val="24"/>
          <w:szCs w:val="24"/>
        </w:rPr>
        <w:t>This household is measurably more active on weekends: higher average power (Chart 3) and a structurally different, longer-duration usage pattern across the day (Chart 4) compared to weekdays.</w:t>
      </w:r>
    </w:p>
    <w:p w14:paraId="60C51D52" w14:textId="3963A9F7" w:rsidR="00CC446A" w:rsidRPr="001F20FB" w:rsidRDefault="00000000" w:rsidP="001F20FB">
      <w:pPr>
        <w:pStyle w:val="ListParagraph"/>
        <w:numPr>
          <w:ilvl w:val="0"/>
          <w:numId w:val="3"/>
        </w:numPr>
        <w:spacing w:after="60"/>
        <w:rPr>
          <w:sz w:val="24"/>
          <w:szCs w:val="24"/>
        </w:rPr>
      </w:pPr>
      <w:r w:rsidRPr="001F20FB">
        <w:rPr>
          <w:sz w:val="24"/>
          <w:szCs w:val="24"/>
        </w:rPr>
        <w:t>Water heater/AC is the dominant metered appliance category, but the majority of total energy</w:t>
      </w:r>
      <w:r w:rsidR="001F20FB">
        <w:rPr>
          <w:sz w:val="24"/>
          <w:szCs w:val="24"/>
        </w:rPr>
        <w:t>,</w:t>
      </w:r>
      <w:r w:rsidRPr="001F20FB">
        <w:rPr>
          <w:sz w:val="24"/>
          <w:szCs w:val="24"/>
        </w:rPr>
        <w:t xml:space="preserve"> roughly 40</w:t>
      </w:r>
      <w:r w:rsidR="001F20FB">
        <w:rPr>
          <w:sz w:val="24"/>
          <w:szCs w:val="24"/>
        </w:rPr>
        <w:t xml:space="preserve">- </w:t>
      </w:r>
      <w:r w:rsidRPr="001F20FB">
        <w:rPr>
          <w:sz w:val="24"/>
          <w:szCs w:val="24"/>
        </w:rPr>
        <w:t>65%</w:t>
      </w:r>
      <w:r w:rsidR="001F20FB">
        <w:rPr>
          <w:sz w:val="24"/>
          <w:szCs w:val="24"/>
        </w:rPr>
        <w:t>,</w:t>
      </w:r>
      <w:r w:rsidRPr="001F20FB">
        <w:rPr>
          <w:sz w:val="24"/>
          <w:szCs w:val="24"/>
        </w:rPr>
        <w:t xml:space="preserve"> depending on the month is unmetered ‘other’ load (Chart 5), meaning the three sub-meters alone cannot fully explain this household's bill.</w:t>
      </w:r>
    </w:p>
    <w:p w14:paraId="0502AC55" w14:textId="77777777" w:rsidR="00CC446A" w:rsidRPr="001F20FB" w:rsidRDefault="00000000" w:rsidP="001F20FB">
      <w:pPr>
        <w:pStyle w:val="ListParagraph"/>
        <w:numPr>
          <w:ilvl w:val="0"/>
          <w:numId w:val="3"/>
        </w:numPr>
        <w:spacing w:after="60"/>
        <w:rPr>
          <w:sz w:val="24"/>
          <w:szCs w:val="24"/>
        </w:rPr>
      </w:pPr>
      <w:r w:rsidRPr="001F20FB">
        <w:rPr>
          <w:sz w:val="24"/>
          <w:szCs w:val="24"/>
        </w:rPr>
        <w:t>Unusually high consumption hours are rare (about 5% of hours) and cluster in specific months rather than occurring uniformly, making them realistic candidates for a dashboard alert feature (Chart 6).</w:t>
      </w:r>
    </w:p>
    <w:p w14:paraId="5299EEAD" w14:textId="77777777" w:rsidR="00CC446A" w:rsidRPr="001F20FB" w:rsidRDefault="00000000" w:rsidP="001F20FB">
      <w:pPr>
        <w:pStyle w:val="ListParagraph"/>
        <w:numPr>
          <w:ilvl w:val="0"/>
          <w:numId w:val="3"/>
        </w:numPr>
        <w:spacing w:after="60"/>
        <w:rPr>
          <w:sz w:val="24"/>
          <w:szCs w:val="24"/>
        </w:rPr>
      </w:pPr>
      <w:r w:rsidRPr="001F20FB">
        <w:rPr>
          <w:sz w:val="24"/>
          <w:szCs w:val="24"/>
        </w:rPr>
        <w:t>Data completeness gaps from the cleaning step's drop-rather-than-impute decision are visible but limited, and are explicitly flagged rather than hidden in every chart that uses period-level aggregates.</w:t>
      </w:r>
    </w:p>
    <w:p w14:paraId="76664CB8" w14:textId="77777777" w:rsidR="00CC446A" w:rsidRPr="001A4CCC" w:rsidRDefault="00000000">
      <w:pPr>
        <w:pStyle w:val="Heading1"/>
        <w:spacing w:before="320" w:after="160"/>
        <w:rPr>
          <w:b/>
          <w:bCs/>
          <w:color w:val="0D0D0D" w:themeColor="text1" w:themeTint="F2"/>
          <w:sz w:val="28"/>
          <w:szCs w:val="28"/>
        </w:rPr>
      </w:pPr>
      <w:r w:rsidRPr="001A4CCC">
        <w:rPr>
          <w:b/>
          <w:bCs/>
          <w:color w:val="0D0D0D" w:themeColor="text1" w:themeTint="F2"/>
          <w:sz w:val="28"/>
          <w:szCs w:val="28"/>
        </w:rPr>
        <w:t>5. Acceptance Criteria Check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560"/>
        <w:gridCol w:w="3800"/>
      </w:tblGrid>
      <w:tr w:rsidR="00CC446A" w14:paraId="0C70F66F" w14:textId="77777777">
        <w:tblPrEx>
          <w:tblCellMar>
            <w:top w:w="0" w:type="dxa"/>
            <w:bottom w:w="0" w:type="dxa"/>
          </w:tblCellMar>
        </w:tblPrEx>
        <w:tc>
          <w:tcPr>
            <w:tcW w:w="5560" w:type="dxa"/>
            <w:shd w:val="clear" w:color="auto" w:fill="D9E2F3"/>
          </w:tcPr>
          <w:p w14:paraId="4D9A21EF" w14:textId="77777777" w:rsidR="00CC446A" w:rsidRPr="001F20FB" w:rsidRDefault="00000000">
            <w:pPr>
              <w:rPr>
                <w:sz w:val="24"/>
                <w:szCs w:val="24"/>
              </w:rPr>
            </w:pPr>
            <w:r w:rsidRPr="001F20FB">
              <w:rPr>
                <w:b/>
                <w:bCs/>
                <w:sz w:val="24"/>
                <w:szCs w:val="24"/>
              </w:rPr>
              <w:t>Requirement</w:t>
            </w:r>
          </w:p>
        </w:tc>
        <w:tc>
          <w:tcPr>
            <w:tcW w:w="3800" w:type="dxa"/>
            <w:shd w:val="clear" w:color="auto" w:fill="D9E2F3"/>
          </w:tcPr>
          <w:p w14:paraId="2D14A7AA" w14:textId="77777777" w:rsidR="00CC446A" w:rsidRPr="001F20FB" w:rsidRDefault="00000000">
            <w:pPr>
              <w:rPr>
                <w:sz w:val="24"/>
                <w:szCs w:val="24"/>
              </w:rPr>
            </w:pPr>
            <w:r w:rsidRPr="001F20FB">
              <w:rPr>
                <w:b/>
                <w:bCs/>
                <w:sz w:val="24"/>
                <w:szCs w:val="24"/>
              </w:rPr>
              <w:t>Status</w:t>
            </w:r>
          </w:p>
        </w:tc>
      </w:tr>
      <w:tr w:rsidR="00CC446A" w14:paraId="77E6967C" w14:textId="77777777">
        <w:tblPrEx>
          <w:tblCellMar>
            <w:top w:w="0" w:type="dxa"/>
            <w:bottom w:w="0" w:type="dxa"/>
          </w:tblCellMar>
        </w:tblPrEx>
        <w:tc>
          <w:tcPr>
            <w:tcW w:w="5560" w:type="dxa"/>
          </w:tcPr>
          <w:p w14:paraId="64AAB359" w14:textId="77777777" w:rsidR="00CC446A" w:rsidRPr="001F20FB" w:rsidRDefault="00000000">
            <w:pPr>
              <w:rPr>
                <w:sz w:val="24"/>
                <w:szCs w:val="24"/>
              </w:rPr>
            </w:pPr>
            <w:r w:rsidRPr="001F20FB">
              <w:rPr>
                <w:sz w:val="24"/>
                <w:szCs w:val="24"/>
              </w:rPr>
              <w:t>At least 3 different types of visualizations created</w:t>
            </w:r>
          </w:p>
        </w:tc>
        <w:tc>
          <w:tcPr>
            <w:tcW w:w="3800" w:type="dxa"/>
          </w:tcPr>
          <w:p w14:paraId="03AF51ED" w14:textId="14749E22" w:rsidR="00CC446A" w:rsidRPr="001F20FB" w:rsidRDefault="00000000">
            <w:pPr>
              <w:rPr>
                <w:sz w:val="24"/>
                <w:szCs w:val="24"/>
              </w:rPr>
            </w:pPr>
            <w:r w:rsidRPr="001F20FB">
              <w:rPr>
                <w:sz w:val="24"/>
                <w:szCs w:val="24"/>
              </w:rPr>
              <w:t xml:space="preserve">Met </w:t>
            </w:r>
            <w:r w:rsidR="001F20FB">
              <w:rPr>
                <w:sz w:val="24"/>
                <w:szCs w:val="24"/>
              </w:rPr>
              <w:t xml:space="preserve">- </w:t>
            </w:r>
            <w:r w:rsidRPr="001F20FB">
              <w:rPr>
                <w:sz w:val="24"/>
                <w:szCs w:val="24"/>
              </w:rPr>
              <w:t>line, bar, heatmap, and stacked-bar charts (4 distinct types across 6 charts).</w:t>
            </w:r>
          </w:p>
        </w:tc>
      </w:tr>
      <w:tr w:rsidR="00CC446A" w14:paraId="7B652417" w14:textId="77777777">
        <w:tblPrEx>
          <w:tblCellMar>
            <w:top w:w="0" w:type="dxa"/>
            <w:bottom w:w="0" w:type="dxa"/>
          </w:tblCellMar>
        </w:tblPrEx>
        <w:tc>
          <w:tcPr>
            <w:tcW w:w="5560" w:type="dxa"/>
          </w:tcPr>
          <w:p w14:paraId="64280563" w14:textId="77777777" w:rsidR="00CC446A" w:rsidRPr="001F20FB" w:rsidRDefault="00000000">
            <w:pPr>
              <w:rPr>
                <w:sz w:val="24"/>
                <w:szCs w:val="24"/>
              </w:rPr>
            </w:pPr>
            <w:r w:rsidRPr="001F20FB">
              <w:rPr>
                <w:sz w:val="24"/>
                <w:szCs w:val="24"/>
              </w:rPr>
              <w:t>Visualizations effectively represent at least 3 of the defined energy metrics</w:t>
            </w:r>
          </w:p>
        </w:tc>
        <w:tc>
          <w:tcPr>
            <w:tcW w:w="3800" w:type="dxa"/>
          </w:tcPr>
          <w:p w14:paraId="6E6387FF" w14:textId="4397BE06" w:rsidR="00CC446A" w:rsidRPr="001F20FB" w:rsidRDefault="00000000">
            <w:pPr>
              <w:rPr>
                <w:sz w:val="24"/>
                <w:szCs w:val="24"/>
              </w:rPr>
            </w:pPr>
            <w:r w:rsidRPr="001F20FB">
              <w:rPr>
                <w:sz w:val="24"/>
                <w:szCs w:val="24"/>
              </w:rPr>
              <w:t xml:space="preserve">Met </w:t>
            </w:r>
            <w:r w:rsidR="001F20FB">
              <w:rPr>
                <w:sz w:val="24"/>
                <w:szCs w:val="24"/>
              </w:rPr>
              <w:t xml:space="preserve">- </w:t>
            </w:r>
            <w:r w:rsidRPr="001F20FB">
              <w:rPr>
                <w:sz w:val="24"/>
                <w:szCs w:val="24"/>
              </w:rPr>
              <w:t>all 8 defined metrics are represented across the 6 charts.</w:t>
            </w:r>
          </w:p>
        </w:tc>
      </w:tr>
      <w:tr w:rsidR="00CC446A" w14:paraId="7203D006" w14:textId="77777777">
        <w:tblPrEx>
          <w:tblCellMar>
            <w:top w:w="0" w:type="dxa"/>
            <w:bottom w:w="0" w:type="dxa"/>
          </w:tblCellMar>
        </w:tblPrEx>
        <w:tc>
          <w:tcPr>
            <w:tcW w:w="5560" w:type="dxa"/>
          </w:tcPr>
          <w:p w14:paraId="72267A44" w14:textId="77777777" w:rsidR="00CC446A" w:rsidRPr="001F20FB" w:rsidRDefault="00000000">
            <w:pPr>
              <w:rPr>
                <w:sz w:val="24"/>
                <w:szCs w:val="24"/>
              </w:rPr>
            </w:pPr>
            <w:r w:rsidRPr="001F20FB">
              <w:rPr>
                <w:sz w:val="24"/>
                <w:szCs w:val="24"/>
              </w:rPr>
              <w:t>Plots are clear, labeled, and provide initial insights into consumption patterns</w:t>
            </w:r>
          </w:p>
        </w:tc>
        <w:tc>
          <w:tcPr>
            <w:tcW w:w="3800" w:type="dxa"/>
          </w:tcPr>
          <w:p w14:paraId="492D82E8" w14:textId="2691E091" w:rsidR="00CC446A" w:rsidRPr="001F20FB" w:rsidRDefault="00000000">
            <w:pPr>
              <w:rPr>
                <w:sz w:val="24"/>
                <w:szCs w:val="24"/>
              </w:rPr>
            </w:pPr>
            <w:r w:rsidRPr="001F20FB">
              <w:rPr>
                <w:sz w:val="24"/>
                <w:szCs w:val="24"/>
              </w:rPr>
              <w:t xml:space="preserve">Met </w:t>
            </w:r>
            <w:r w:rsidR="001F20FB">
              <w:rPr>
                <w:sz w:val="24"/>
                <w:szCs w:val="24"/>
              </w:rPr>
              <w:t>-</w:t>
            </w:r>
            <w:r w:rsidRPr="001F20FB">
              <w:rPr>
                <w:sz w:val="24"/>
                <w:szCs w:val="24"/>
              </w:rPr>
              <w:t xml:space="preserve"> each chart has a title, axis labels, legend where relevant, and a stated finding above.</w:t>
            </w:r>
          </w:p>
        </w:tc>
      </w:tr>
      <w:tr w:rsidR="00CC446A" w14:paraId="4279960C" w14:textId="77777777">
        <w:tblPrEx>
          <w:tblCellMar>
            <w:top w:w="0" w:type="dxa"/>
            <w:bottom w:w="0" w:type="dxa"/>
          </w:tblCellMar>
        </w:tblPrEx>
        <w:tc>
          <w:tcPr>
            <w:tcW w:w="5560" w:type="dxa"/>
          </w:tcPr>
          <w:p w14:paraId="17507CE7" w14:textId="77777777" w:rsidR="00CC446A" w:rsidRPr="001F20FB" w:rsidRDefault="00000000">
            <w:pPr>
              <w:rPr>
                <w:sz w:val="24"/>
                <w:szCs w:val="24"/>
              </w:rPr>
            </w:pPr>
            <w:r w:rsidRPr="001F20FB">
              <w:rPr>
                <w:sz w:val="24"/>
                <w:szCs w:val="24"/>
              </w:rPr>
              <w:t>Code for generating these plots is organized and reusable</w:t>
            </w:r>
          </w:p>
        </w:tc>
        <w:tc>
          <w:tcPr>
            <w:tcW w:w="3800" w:type="dxa"/>
          </w:tcPr>
          <w:p w14:paraId="05D4742D" w14:textId="2F61C9EB" w:rsidR="00CC446A" w:rsidRPr="001F20FB" w:rsidRDefault="00000000">
            <w:pPr>
              <w:rPr>
                <w:sz w:val="24"/>
                <w:szCs w:val="24"/>
              </w:rPr>
            </w:pPr>
            <w:r w:rsidRPr="001F20FB">
              <w:rPr>
                <w:sz w:val="24"/>
                <w:szCs w:val="24"/>
              </w:rPr>
              <w:t xml:space="preserve">Met </w:t>
            </w:r>
            <w:r w:rsidR="001F20FB">
              <w:rPr>
                <w:sz w:val="24"/>
                <w:szCs w:val="24"/>
              </w:rPr>
              <w:t xml:space="preserve">- </w:t>
            </w:r>
            <w:r w:rsidRPr="001F20FB">
              <w:rPr>
                <w:sz w:val="24"/>
                <w:szCs w:val="24"/>
              </w:rPr>
              <w:t>each chart is a standalone function returning a Figure object; see household_energy_visualization.py and the accompanying README.</w:t>
            </w:r>
          </w:p>
        </w:tc>
      </w:tr>
    </w:tbl>
    <w:p w14:paraId="4D7E30F0" w14:textId="77777777" w:rsidR="003623D3" w:rsidRDefault="003623D3"/>
    <w:sectPr w:rsidR="003623D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02EC1"/>
    <w:multiLevelType w:val="hybridMultilevel"/>
    <w:tmpl w:val="A41C327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56984C9B"/>
    <w:multiLevelType w:val="hybridMultilevel"/>
    <w:tmpl w:val="0152187C"/>
    <w:lvl w:ilvl="0" w:tplc="8DC42CCC">
      <w:start w:val="1"/>
      <w:numFmt w:val="bullet"/>
      <w:lvlText w:val="●"/>
      <w:lvlJc w:val="left"/>
      <w:pPr>
        <w:ind w:left="720" w:hanging="360"/>
      </w:pPr>
    </w:lvl>
    <w:lvl w:ilvl="1" w:tplc="D9A63A6A">
      <w:start w:val="1"/>
      <w:numFmt w:val="bullet"/>
      <w:lvlText w:val="○"/>
      <w:lvlJc w:val="left"/>
      <w:pPr>
        <w:ind w:left="1440" w:hanging="360"/>
      </w:pPr>
    </w:lvl>
    <w:lvl w:ilvl="2" w:tplc="43E05C2A">
      <w:start w:val="1"/>
      <w:numFmt w:val="bullet"/>
      <w:lvlText w:val="■"/>
      <w:lvlJc w:val="left"/>
      <w:pPr>
        <w:ind w:left="2160" w:hanging="360"/>
      </w:pPr>
    </w:lvl>
    <w:lvl w:ilvl="3" w:tplc="1BDE9520">
      <w:start w:val="1"/>
      <w:numFmt w:val="bullet"/>
      <w:lvlText w:val="●"/>
      <w:lvlJc w:val="left"/>
      <w:pPr>
        <w:ind w:left="2880" w:hanging="360"/>
      </w:pPr>
    </w:lvl>
    <w:lvl w:ilvl="4" w:tplc="749620D0">
      <w:start w:val="1"/>
      <w:numFmt w:val="bullet"/>
      <w:lvlText w:val="○"/>
      <w:lvlJc w:val="left"/>
      <w:pPr>
        <w:ind w:left="3600" w:hanging="360"/>
      </w:pPr>
    </w:lvl>
    <w:lvl w:ilvl="5" w:tplc="35021246">
      <w:start w:val="1"/>
      <w:numFmt w:val="bullet"/>
      <w:lvlText w:val="■"/>
      <w:lvlJc w:val="left"/>
      <w:pPr>
        <w:ind w:left="4320" w:hanging="360"/>
      </w:pPr>
    </w:lvl>
    <w:lvl w:ilvl="6" w:tplc="45BCB366">
      <w:start w:val="1"/>
      <w:numFmt w:val="bullet"/>
      <w:lvlText w:val="●"/>
      <w:lvlJc w:val="left"/>
      <w:pPr>
        <w:ind w:left="5040" w:hanging="360"/>
      </w:pPr>
    </w:lvl>
    <w:lvl w:ilvl="7" w:tplc="DCB0DD24">
      <w:start w:val="1"/>
      <w:numFmt w:val="bullet"/>
      <w:lvlText w:val="●"/>
      <w:lvlJc w:val="left"/>
      <w:pPr>
        <w:ind w:left="5760" w:hanging="360"/>
      </w:pPr>
    </w:lvl>
    <w:lvl w:ilvl="8" w:tplc="52980E24">
      <w:start w:val="1"/>
      <w:numFmt w:val="bullet"/>
      <w:lvlText w:val="●"/>
      <w:lvlJc w:val="left"/>
      <w:pPr>
        <w:ind w:left="6480" w:hanging="360"/>
      </w:pPr>
    </w:lvl>
  </w:abstractNum>
  <w:abstractNum w:abstractNumId="2" w15:restartNumberingAfterBreak="0">
    <w:nsid w:val="63590712"/>
    <w:multiLevelType w:val="hybridMultilevel"/>
    <w:tmpl w:val="F6E2DBBA"/>
    <w:lvl w:ilvl="0" w:tplc="07280310">
      <w:start w:val="1"/>
      <w:numFmt w:val="bullet"/>
      <w:lvlText w:val="•"/>
      <w:lvlJc w:val="left"/>
      <w:pPr>
        <w:ind w:left="720" w:hanging="360"/>
      </w:pPr>
    </w:lvl>
    <w:lvl w:ilvl="1" w:tplc="C232B0F2">
      <w:numFmt w:val="decimal"/>
      <w:lvlText w:val=""/>
      <w:lvlJc w:val="left"/>
    </w:lvl>
    <w:lvl w:ilvl="2" w:tplc="A3A6917C">
      <w:numFmt w:val="decimal"/>
      <w:lvlText w:val=""/>
      <w:lvlJc w:val="left"/>
    </w:lvl>
    <w:lvl w:ilvl="3" w:tplc="D16E1E1E">
      <w:numFmt w:val="decimal"/>
      <w:lvlText w:val=""/>
      <w:lvlJc w:val="left"/>
    </w:lvl>
    <w:lvl w:ilvl="4" w:tplc="C7823F70">
      <w:numFmt w:val="decimal"/>
      <w:lvlText w:val=""/>
      <w:lvlJc w:val="left"/>
    </w:lvl>
    <w:lvl w:ilvl="5" w:tplc="FD3C9562">
      <w:numFmt w:val="decimal"/>
      <w:lvlText w:val=""/>
      <w:lvlJc w:val="left"/>
    </w:lvl>
    <w:lvl w:ilvl="6" w:tplc="784EE88A">
      <w:numFmt w:val="decimal"/>
      <w:lvlText w:val=""/>
      <w:lvlJc w:val="left"/>
    </w:lvl>
    <w:lvl w:ilvl="7" w:tplc="7B1A283C">
      <w:numFmt w:val="decimal"/>
      <w:lvlText w:val=""/>
      <w:lvlJc w:val="left"/>
    </w:lvl>
    <w:lvl w:ilvl="8" w:tplc="FBC8E710">
      <w:numFmt w:val="decimal"/>
      <w:lvlText w:val=""/>
      <w:lvlJc w:val="left"/>
    </w:lvl>
  </w:abstractNum>
  <w:num w:numId="1" w16cid:durableId="1796756385">
    <w:abstractNumId w:val="1"/>
    <w:lvlOverride w:ilvl="0">
      <w:startOverride w:val="1"/>
    </w:lvlOverride>
  </w:num>
  <w:num w:numId="2" w16cid:durableId="1370956462">
    <w:abstractNumId w:val="2"/>
    <w:lvlOverride w:ilvl="0">
      <w:startOverride w:val="1"/>
    </w:lvlOverride>
  </w:num>
  <w:num w:numId="3" w16cid:durableId="1635138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446A"/>
    <w:rsid w:val="001A4CCC"/>
    <w:rsid w:val="001F20FB"/>
    <w:rsid w:val="003623D3"/>
    <w:rsid w:val="00675772"/>
    <w:rsid w:val="007F6339"/>
    <w:rsid w:val="00B6718F"/>
    <w:rsid w:val="00CC446A"/>
    <w:rsid w:val="00CF12EC"/>
    <w:rsid w:val="00F236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00019"/>
  <w15:docId w15:val="{0C7ABC49-BADA-40A6-8A5D-D6BBB3226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5</Pages>
  <Words>1018</Words>
  <Characters>5807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Vaishnavi Sampara</cp:lastModifiedBy>
  <cp:revision>3</cp:revision>
  <dcterms:created xsi:type="dcterms:W3CDTF">2026-09-24T17:55:00Z</dcterms:created>
  <dcterms:modified xsi:type="dcterms:W3CDTF">2026-09-24T19:12:00Z</dcterms:modified>
</cp:coreProperties>
</file>