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89A35" w14:textId="77777777" w:rsidR="00900DDF" w:rsidRDefault="00DF2216">
      <w:pPr>
        <w:spacing w:after="20"/>
        <w:rPr>
          <w:rFonts w:hint="eastAsia"/>
        </w:rPr>
      </w:pPr>
      <w:r>
        <w:rPr>
          <w:b/>
          <w:color w:val="1F4E79"/>
          <w:sz w:val="22"/>
        </w:rPr>
        <w:t>HR EMAIL AUTOMATION</w:t>
      </w:r>
    </w:p>
    <w:p w14:paraId="35F0B3BA" w14:textId="77777777" w:rsidR="00900DDF" w:rsidRDefault="00DF2216">
      <w:pPr>
        <w:spacing w:after="40"/>
        <w:rPr>
          <w:rFonts w:hint="eastAsia"/>
        </w:rPr>
      </w:pPr>
      <w:r>
        <w:rPr>
          <w:b/>
          <w:color w:val="183B56"/>
          <w:sz w:val="46"/>
        </w:rPr>
        <w:t>Testing &amp; Validation Dashboard</w:t>
      </w:r>
    </w:p>
    <w:p w14:paraId="6E2BC38E" w14:textId="77777777" w:rsidR="00900DDF" w:rsidRDefault="00DF2216">
      <w:pPr>
        <w:spacing w:after="180"/>
        <w:rPr>
          <w:rFonts w:hint="eastAsia"/>
        </w:rPr>
      </w:pPr>
      <w:r>
        <w:rPr>
          <w:color w:val="637487"/>
        </w:rPr>
        <w:t>Expanded review • failure frequency • expected vs. actual behavior • test-case focus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900DDF" w14:paraId="5C79F8EB" w14:textId="77777777">
        <w:trPr>
          <w:jc w:val="center"/>
        </w:trPr>
        <w:tc>
          <w:tcPr>
            <w:tcW w:w="355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FFA0863" w14:textId="77777777" w:rsidR="00900DDF" w:rsidRDefault="00DF2216">
            <w:pPr>
              <w:jc w:val="center"/>
              <w:rPr>
                <w:rFonts w:hint="eastAsia"/>
              </w:rPr>
            </w:pPr>
            <w:r>
              <w:rPr>
                <w:b/>
                <w:color w:val="5E7183"/>
                <w:sz w:val="16"/>
              </w:rPr>
              <w:t>REVIEW SCOPE</w:t>
            </w:r>
            <w:r>
              <w:rPr>
                <w:b/>
                <w:color w:val="5E7183"/>
                <w:sz w:val="16"/>
              </w:rPr>
              <w:br/>
            </w:r>
            <w:r>
              <w:rPr>
                <w:b/>
                <w:color w:val="183B56"/>
              </w:rPr>
              <w:t>169 manually reviewed cases</w:t>
            </w:r>
          </w:p>
        </w:tc>
        <w:tc>
          <w:tcPr>
            <w:tcW w:w="355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62083B9" w14:textId="77777777" w:rsidR="00900DDF" w:rsidRDefault="00DF2216">
            <w:pPr>
              <w:jc w:val="center"/>
              <w:rPr>
                <w:rFonts w:hint="eastAsia"/>
              </w:rPr>
            </w:pPr>
            <w:r>
              <w:rPr>
                <w:b/>
                <w:color w:val="5E7183"/>
                <w:sz w:val="16"/>
              </w:rPr>
              <w:t>QUEUE CONTEXT</w:t>
            </w:r>
            <w:r>
              <w:rPr>
                <w:b/>
                <w:color w:val="5E7183"/>
                <w:sz w:val="16"/>
              </w:rPr>
              <w:br/>
            </w:r>
            <w:r>
              <w:rPr>
                <w:b/>
                <w:color w:val="183B56"/>
              </w:rPr>
              <w:t>170 HR review cases</w:t>
            </w:r>
          </w:p>
        </w:tc>
        <w:tc>
          <w:tcPr>
            <w:tcW w:w="355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86A2E2B" w14:textId="77777777" w:rsidR="00900DDF" w:rsidRDefault="00DF2216">
            <w:pPr>
              <w:jc w:val="center"/>
              <w:rPr>
                <w:rFonts w:hint="eastAsia"/>
              </w:rPr>
            </w:pPr>
            <w:r>
              <w:rPr>
                <w:b/>
                <w:color w:val="5E7183"/>
                <w:sz w:val="16"/>
              </w:rPr>
              <w:t>PURPOSE</w:t>
            </w:r>
            <w:r>
              <w:rPr>
                <w:b/>
                <w:color w:val="5E7183"/>
                <w:sz w:val="16"/>
              </w:rPr>
              <w:br/>
            </w:r>
            <w:r>
              <w:rPr>
                <w:b/>
                <w:color w:val="183B56"/>
              </w:rPr>
              <w:t>Prioritize validation &amp; fixes</w:t>
            </w:r>
          </w:p>
        </w:tc>
      </w:tr>
    </w:tbl>
    <w:p w14:paraId="4E4F2C48" w14:textId="77777777" w:rsidR="00900DDF" w:rsidRDefault="00900DDF">
      <w:pPr>
        <w:spacing w:after="4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2664"/>
        <w:gridCol w:w="2664"/>
        <w:gridCol w:w="2664"/>
      </w:tblGrid>
      <w:tr w:rsidR="00900DDF" w14:paraId="5D434389" w14:textId="77777777">
        <w:trPr>
          <w:jc w:val="center"/>
        </w:trPr>
        <w:tc>
          <w:tcPr>
            <w:tcW w:w="26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100" w:type="dxa"/>
              <w:left w:w="80" w:type="dxa"/>
              <w:bottom w:w="90" w:type="dxa"/>
              <w:right w:w="80" w:type="dxa"/>
            </w:tcMar>
          </w:tcPr>
          <w:p w14:paraId="4E62A8FC" w14:textId="33A2EDCA" w:rsidR="00900DDF" w:rsidRDefault="00DF2216">
            <w:pPr>
              <w:jc w:val="center"/>
              <w:rPr>
                <w:rFonts w:hint="eastAsia"/>
              </w:rPr>
            </w:pPr>
            <w:r>
              <w:rPr>
                <w:b/>
                <w:color w:val="183B56"/>
                <w:sz w:val="36"/>
              </w:rPr>
              <w:t>1</w:t>
            </w:r>
            <w:r w:rsidR="00272A21">
              <w:rPr>
                <w:b/>
                <w:color w:val="183B56"/>
                <w:sz w:val="36"/>
              </w:rPr>
              <w:t>70</w:t>
            </w:r>
          </w:p>
          <w:p w14:paraId="39F9BBCA" w14:textId="77777777" w:rsidR="00900DDF" w:rsidRDefault="00DF2216">
            <w:pPr>
              <w:jc w:val="center"/>
              <w:rPr>
                <w:rFonts w:hint="eastAsia"/>
              </w:rPr>
            </w:pPr>
            <w:r>
              <w:rPr>
                <w:color w:val="637487"/>
                <w:sz w:val="16"/>
              </w:rPr>
              <w:t>Reviewed</w:t>
            </w:r>
          </w:p>
        </w:tc>
        <w:tc>
          <w:tcPr>
            <w:tcW w:w="26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CE4D6"/>
            <w:tcMar>
              <w:top w:w="100" w:type="dxa"/>
              <w:left w:w="80" w:type="dxa"/>
              <w:bottom w:w="90" w:type="dxa"/>
              <w:right w:w="80" w:type="dxa"/>
            </w:tcMar>
          </w:tcPr>
          <w:p w14:paraId="3CA611F8" w14:textId="77777777" w:rsidR="00900DDF" w:rsidRDefault="00DF2216">
            <w:pPr>
              <w:jc w:val="center"/>
              <w:rPr>
                <w:rFonts w:hint="eastAsia"/>
              </w:rPr>
            </w:pPr>
            <w:r>
              <w:rPr>
                <w:b/>
                <w:color w:val="183B56"/>
                <w:sz w:val="36"/>
              </w:rPr>
              <w:t>142</w:t>
            </w:r>
          </w:p>
          <w:p w14:paraId="4A0C2BEA" w14:textId="77777777" w:rsidR="00900DDF" w:rsidRDefault="00DF2216">
            <w:pPr>
              <w:jc w:val="center"/>
              <w:rPr>
                <w:rFonts w:hint="eastAsia"/>
              </w:rPr>
            </w:pPr>
            <w:r>
              <w:rPr>
                <w:color w:val="637487"/>
                <w:sz w:val="16"/>
              </w:rPr>
              <w:t>High priority</w:t>
            </w:r>
          </w:p>
        </w:tc>
        <w:tc>
          <w:tcPr>
            <w:tcW w:w="26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DE9E7"/>
            <w:tcMar>
              <w:top w:w="100" w:type="dxa"/>
              <w:left w:w="80" w:type="dxa"/>
              <w:bottom w:w="90" w:type="dxa"/>
              <w:right w:w="80" w:type="dxa"/>
            </w:tcMar>
          </w:tcPr>
          <w:p w14:paraId="4FFD7B29" w14:textId="77777777" w:rsidR="00900DDF" w:rsidRDefault="00DF2216">
            <w:pPr>
              <w:jc w:val="center"/>
              <w:rPr>
                <w:rFonts w:hint="eastAsia"/>
              </w:rPr>
            </w:pPr>
            <w:r>
              <w:rPr>
                <w:b/>
                <w:color w:val="183B56"/>
                <w:sz w:val="36"/>
              </w:rPr>
              <w:t>43</w:t>
            </w:r>
          </w:p>
          <w:p w14:paraId="4A6AB4DA" w14:textId="77777777" w:rsidR="00900DDF" w:rsidRDefault="00DF2216">
            <w:pPr>
              <w:jc w:val="center"/>
              <w:rPr>
                <w:rFonts w:hint="eastAsia"/>
              </w:rPr>
            </w:pPr>
            <w:r>
              <w:rPr>
                <w:color w:val="637487"/>
                <w:sz w:val="16"/>
              </w:rPr>
              <w:t>Incorrect</w:t>
            </w:r>
          </w:p>
        </w:tc>
        <w:tc>
          <w:tcPr>
            <w:tcW w:w="26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2CC"/>
            <w:tcMar>
              <w:top w:w="100" w:type="dxa"/>
              <w:left w:w="80" w:type="dxa"/>
              <w:bottom w:w="90" w:type="dxa"/>
              <w:right w:w="80" w:type="dxa"/>
            </w:tcMar>
          </w:tcPr>
          <w:p w14:paraId="7AA8EAAE" w14:textId="77777777" w:rsidR="00900DDF" w:rsidRDefault="00DF2216">
            <w:pPr>
              <w:jc w:val="center"/>
              <w:rPr>
                <w:rFonts w:hint="eastAsia"/>
              </w:rPr>
            </w:pPr>
            <w:r>
              <w:rPr>
                <w:b/>
                <w:color w:val="183B56"/>
                <w:sz w:val="36"/>
              </w:rPr>
              <w:t>122</w:t>
            </w:r>
          </w:p>
          <w:p w14:paraId="3D400D19" w14:textId="77777777" w:rsidR="00900DDF" w:rsidRDefault="00DF2216">
            <w:pPr>
              <w:jc w:val="center"/>
              <w:rPr>
                <w:rFonts w:hint="eastAsia"/>
              </w:rPr>
            </w:pPr>
            <w:r>
              <w:rPr>
                <w:color w:val="637487"/>
                <w:sz w:val="16"/>
              </w:rPr>
              <w:t>Partial / incomplete</w:t>
            </w:r>
          </w:p>
        </w:tc>
      </w:tr>
    </w:tbl>
    <w:p w14:paraId="7882B53C" w14:textId="77777777" w:rsidR="00900DDF" w:rsidRDefault="00DF2216">
      <w:pPr>
        <w:spacing w:before="200" w:after="80"/>
        <w:rPr>
          <w:rFonts w:hint="eastAsia"/>
        </w:rPr>
      </w:pPr>
      <w:r>
        <w:rPr>
          <w:b/>
          <w:color w:val="1F4E79"/>
          <w:sz w:val="26"/>
        </w:rPr>
        <w:t>1. Failure frequency across the reviewed cases</w:t>
      </w:r>
    </w:p>
    <w:p w14:paraId="496FB02A" w14:textId="77777777" w:rsidR="00900DDF" w:rsidRDefault="00DF2216">
      <w:pPr>
        <w:rPr>
          <w:rFonts w:hint="eastAsia"/>
        </w:rPr>
      </w:pPr>
      <w:r>
        <w:rPr>
          <w:b/>
        </w:rPr>
        <w:t xml:space="preserve">The table below is the core of the dashboard: </w:t>
      </w:r>
      <w:r>
        <w:t>what failed, how often it appeared, what the system should have done, and what it actually did.</w:t>
      </w:r>
    </w:p>
    <w:tbl>
      <w:tblPr>
        <w:tblW w:w="12134" w:type="dxa"/>
        <w:jc w:val="center"/>
        <w:tblLayout w:type="fixed"/>
        <w:tblLook w:val="04A0" w:firstRow="1" w:lastRow="0" w:firstColumn="1" w:lastColumn="0" w:noHBand="0" w:noVBand="1"/>
      </w:tblPr>
      <w:tblGrid>
        <w:gridCol w:w="2512"/>
        <w:gridCol w:w="1859"/>
        <w:gridCol w:w="1859"/>
        <w:gridCol w:w="2952"/>
        <w:gridCol w:w="2952"/>
      </w:tblGrid>
      <w:tr w:rsidR="00900DDF" w14:paraId="74465391" w14:textId="77777777" w:rsidTr="00A37FE9">
        <w:trPr>
          <w:trHeight w:val="411"/>
          <w:jc w:val="center"/>
        </w:trPr>
        <w:tc>
          <w:tcPr>
            <w:tcW w:w="2512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CC60E5A" w14:textId="77777777" w:rsidR="00900DDF" w:rsidRDefault="00DF2216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Failure category</w:t>
            </w:r>
          </w:p>
        </w:tc>
        <w:tc>
          <w:tcPr>
            <w:tcW w:w="1859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5217D65" w14:textId="77777777" w:rsidR="00900DDF" w:rsidRDefault="00DF2216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Cases</w:t>
            </w:r>
          </w:p>
        </w:tc>
        <w:tc>
          <w:tcPr>
            <w:tcW w:w="1859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0D45857" w14:textId="77777777" w:rsidR="00900DDF" w:rsidRDefault="00DF2216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% of 169</w:t>
            </w:r>
          </w:p>
        </w:tc>
        <w:tc>
          <w:tcPr>
            <w:tcW w:w="2952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D4DFAD7" w14:textId="77777777" w:rsidR="00900DDF" w:rsidRDefault="00DF2216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Expected behavior</w:t>
            </w:r>
          </w:p>
        </w:tc>
        <w:tc>
          <w:tcPr>
            <w:tcW w:w="2952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39CDFE6" w14:textId="77777777" w:rsidR="00900DDF" w:rsidRDefault="00DF2216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Actual behavior</w:t>
            </w:r>
          </w:p>
        </w:tc>
      </w:tr>
      <w:tr w:rsidR="00900DDF" w14:paraId="3C78EBC8" w14:textId="77777777" w:rsidTr="00A37FE9">
        <w:trPr>
          <w:trHeight w:val="824"/>
          <w:jc w:val="center"/>
        </w:trPr>
        <w:tc>
          <w:tcPr>
            <w:tcW w:w="25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00D9C9" w14:textId="77777777" w:rsidR="00900DDF" w:rsidRDefault="00DF2216">
            <w:pPr>
              <w:rPr>
                <w:rFonts w:hint="eastAsia"/>
              </w:rPr>
            </w:pPr>
            <w:r>
              <w:rPr>
                <w:sz w:val="16"/>
              </w:rPr>
              <w:t>Evidence / policy support</w:t>
            </w:r>
          </w:p>
        </w:tc>
        <w:tc>
          <w:tcPr>
            <w:tcW w:w="185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0AFD474" w14:textId="77777777" w:rsidR="00900DDF" w:rsidRDefault="00DF2216">
            <w:pPr>
              <w:jc w:val="center"/>
              <w:rPr>
                <w:rFonts w:hint="eastAsia"/>
              </w:rPr>
            </w:pPr>
            <w:r>
              <w:rPr>
                <w:sz w:val="16"/>
              </w:rPr>
              <w:t>93</w:t>
            </w:r>
          </w:p>
        </w:tc>
        <w:tc>
          <w:tcPr>
            <w:tcW w:w="185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4763737" w14:textId="77777777" w:rsidR="00900DDF" w:rsidRDefault="00DF2216">
            <w:pPr>
              <w:jc w:val="center"/>
              <w:rPr>
                <w:rFonts w:hint="eastAsia"/>
              </w:rPr>
            </w:pPr>
            <w:r>
              <w:rPr>
                <w:sz w:val="16"/>
              </w:rPr>
              <w:t>55.0%</w:t>
            </w:r>
          </w:p>
        </w:tc>
        <w:tc>
          <w:tcPr>
            <w:tcW w:w="295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3100FD" w14:textId="77777777" w:rsidR="00900DDF" w:rsidRDefault="00DF2216">
            <w:pPr>
              <w:rPr>
                <w:rFonts w:hint="eastAsia"/>
              </w:rPr>
            </w:pPr>
            <w:r>
              <w:rPr>
                <w:sz w:val="16"/>
              </w:rPr>
              <w:t>Retrieve the applicable policy/KB evidence and ground the response in that evidence.</w:t>
            </w:r>
          </w:p>
        </w:tc>
        <w:tc>
          <w:tcPr>
            <w:tcW w:w="295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0FFB2BE" w14:textId="77777777" w:rsidR="00900DDF" w:rsidRDefault="00DF2216">
            <w:pPr>
              <w:rPr>
                <w:rFonts w:hint="eastAsia"/>
              </w:rPr>
            </w:pPr>
            <w:r>
              <w:rPr>
                <w:sz w:val="16"/>
              </w:rPr>
              <w:t>Response gives a policy, eligibility, timeline, or process statement without sufficient retrieved/shown support.</w:t>
            </w:r>
          </w:p>
        </w:tc>
      </w:tr>
      <w:tr w:rsidR="00900DDF" w14:paraId="3D6D269D" w14:textId="77777777" w:rsidTr="00A37FE9">
        <w:trPr>
          <w:trHeight w:val="839"/>
          <w:jc w:val="center"/>
        </w:trPr>
        <w:tc>
          <w:tcPr>
            <w:tcW w:w="25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FA1972" w14:textId="77777777" w:rsidR="00900DDF" w:rsidRDefault="00DF2216">
            <w:pPr>
              <w:rPr>
                <w:rFonts w:hint="eastAsia"/>
              </w:rPr>
            </w:pPr>
            <w:r>
              <w:rPr>
                <w:sz w:val="16"/>
              </w:rPr>
              <w:t>Process / timeline</w:t>
            </w:r>
          </w:p>
        </w:tc>
        <w:tc>
          <w:tcPr>
            <w:tcW w:w="185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6AEF052" w14:textId="77777777" w:rsidR="00900DDF" w:rsidRDefault="00DF2216">
            <w:pPr>
              <w:jc w:val="center"/>
              <w:rPr>
                <w:rFonts w:hint="eastAsia"/>
              </w:rPr>
            </w:pPr>
            <w:r>
              <w:rPr>
                <w:sz w:val="16"/>
              </w:rPr>
              <w:t>69</w:t>
            </w:r>
          </w:p>
        </w:tc>
        <w:tc>
          <w:tcPr>
            <w:tcW w:w="185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4665AF" w14:textId="77777777" w:rsidR="00900DDF" w:rsidRDefault="00DF2216">
            <w:pPr>
              <w:jc w:val="center"/>
              <w:rPr>
                <w:rFonts w:hint="eastAsia"/>
              </w:rPr>
            </w:pPr>
            <w:r>
              <w:rPr>
                <w:sz w:val="16"/>
              </w:rPr>
              <w:t>40.8%</w:t>
            </w:r>
          </w:p>
        </w:tc>
        <w:tc>
          <w:tcPr>
            <w:tcW w:w="295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B7D9FF" w14:textId="77777777" w:rsidR="00900DDF" w:rsidRDefault="00DF2216">
            <w:pPr>
              <w:rPr>
                <w:rFonts w:hint="eastAsia"/>
              </w:rPr>
            </w:pPr>
            <w:r>
              <w:rPr>
                <w:sz w:val="16"/>
              </w:rPr>
              <w:t>Follow the documented workflow and only state timelines/commitments supported by the KB.</w:t>
            </w:r>
          </w:p>
        </w:tc>
        <w:tc>
          <w:tcPr>
            <w:tcW w:w="295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32C2EF" w14:textId="77777777" w:rsidR="00900DDF" w:rsidRDefault="00DF2216">
            <w:pPr>
              <w:rPr>
                <w:rFonts w:hint="eastAsia"/>
              </w:rPr>
            </w:pPr>
            <w:r>
              <w:rPr>
                <w:sz w:val="16"/>
              </w:rPr>
              <w:t>Response invents, assumes, or incompletely handles timelines, reissue rules, or next-step processes.</w:t>
            </w:r>
          </w:p>
        </w:tc>
      </w:tr>
      <w:tr w:rsidR="00900DDF" w14:paraId="5DB340DD" w14:textId="77777777" w:rsidTr="00A37FE9">
        <w:trPr>
          <w:trHeight w:val="824"/>
          <w:jc w:val="center"/>
        </w:trPr>
        <w:tc>
          <w:tcPr>
            <w:tcW w:w="25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F6F1C12" w14:textId="77777777" w:rsidR="00900DDF" w:rsidRDefault="00DF2216">
            <w:pPr>
              <w:rPr>
                <w:rFonts w:hint="eastAsia"/>
              </w:rPr>
            </w:pPr>
            <w:r>
              <w:rPr>
                <w:sz w:val="16"/>
              </w:rPr>
              <w:t>Intent handling</w:t>
            </w:r>
          </w:p>
        </w:tc>
        <w:tc>
          <w:tcPr>
            <w:tcW w:w="185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4949983" w14:textId="77777777" w:rsidR="00900DDF" w:rsidRDefault="00DF2216">
            <w:pPr>
              <w:jc w:val="center"/>
              <w:rPr>
                <w:rFonts w:hint="eastAsia"/>
              </w:rPr>
            </w:pPr>
            <w:r>
              <w:rPr>
                <w:sz w:val="16"/>
              </w:rPr>
              <w:t>46</w:t>
            </w:r>
          </w:p>
        </w:tc>
        <w:tc>
          <w:tcPr>
            <w:tcW w:w="185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D1E831" w14:textId="77777777" w:rsidR="00900DDF" w:rsidRDefault="00DF2216">
            <w:pPr>
              <w:jc w:val="center"/>
              <w:rPr>
                <w:rFonts w:hint="eastAsia"/>
              </w:rPr>
            </w:pPr>
            <w:r>
              <w:rPr>
                <w:sz w:val="16"/>
              </w:rPr>
              <w:t>27.2%</w:t>
            </w:r>
          </w:p>
        </w:tc>
        <w:tc>
          <w:tcPr>
            <w:tcW w:w="295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C58315" w14:textId="77777777" w:rsidR="00900DDF" w:rsidRDefault="00DF2216">
            <w:pPr>
              <w:rPr>
                <w:rFonts w:hint="eastAsia"/>
              </w:rPr>
            </w:pPr>
            <w:r>
              <w:rPr>
                <w:sz w:val="16"/>
              </w:rPr>
              <w:t>Identify every material request in the email and address each one or clearly route the unresolved item.</w:t>
            </w:r>
          </w:p>
        </w:tc>
        <w:tc>
          <w:tcPr>
            <w:tcW w:w="295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24289F4" w14:textId="77777777" w:rsidR="00900DDF" w:rsidRDefault="00DF2216">
            <w:pPr>
              <w:rPr>
                <w:rFonts w:hint="eastAsia"/>
              </w:rPr>
            </w:pPr>
            <w:r>
              <w:rPr>
                <w:sz w:val="16"/>
              </w:rPr>
              <w:t>Response answers only part of a multi-intent request, answers the wrong intent, or misses the main request.</w:t>
            </w:r>
          </w:p>
        </w:tc>
      </w:tr>
      <w:tr w:rsidR="00900DDF" w14:paraId="229BBF3E" w14:textId="77777777" w:rsidTr="00A37FE9">
        <w:trPr>
          <w:trHeight w:val="1046"/>
          <w:jc w:val="center"/>
        </w:trPr>
        <w:tc>
          <w:tcPr>
            <w:tcW w:w="25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0CC355A" w14:textId="77777777" w:rsidR="00900DDF" w:rsidRDefault="00DF2216">
            <w:pPr>
              <w:rPr>
                <w:rFonts w:hint="eastAsia"/>
              </w:rPr>
            </w:pPr>
            <w:r>
              <w:rPr>
                <w:sz w:val="16"/>
              </w:rPr>
              <w:t>Immigration-sensitive handling</w:t>
            </w:r>
          </w:p>
        </w:tc>
        <w:tc>
          <w:tcPr>
            <w:tcW w:w="185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279A14" w14:textId="77777777" w:rsidR="00900DDF" w:rsidRDefault="00DF2216">
            <w:pPr>
              <w:jc w:val="center"/>
              <w:rPr>
                <w:rFonts w:hint="eastAsia"/>
              </w:rPr>
            </w:pPr>
            <w:r>
              <w:rPr>
                <w:sz w:val="16"/>
              </w:rPr>
              <w:t>39</w:t>
            </w:r>
          </w:p>
        </w:tc>
        <w:tc>
          <w:tcPr>
            <w:tcW w:w="185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4EF00C" w14:textId="77777777" w:rsidR="00900DDF" w:rsidRDefault="00DF2216">
            <w:pPr>
              <w:jc w:val="center"/>
              <w:rPr>
                <w:rFonts w:hint="eastAsia"/>
              </w:rPr>
            </w:pPr>
            <w:r>
              <w:rPr>
                <w:sz w:val="16"/>
              </w:rPr>
              <w:t>23.1%</w:t>
            </w:r>
          </w:p>
        </w:tc>
        <w:tc>
          <w:tcPr>
            <w:tcW w:w="295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E5BBCB8" w14:textId="77777777" w:rsidR="00900DDF" w:rsidRDefault="00DF2216">
            <w:pPr>
              <w:rPr>
                <w:rFonts w:hint="eastAsia"/>
              </w:rPr>
            </w:pPr>
            <w:r>
              <w:rPr>
                <w:sz w:val="16"/>
              </w:rPr>
              <w:t>Use approved, evidence-backed guidance and escalate when the source material does not support the requested immigration claim.</w:t>
            </w:r>
          </w:p>
        </w:tc>
        <w:tc>
          <w:tcPr>
            <w:tcW w:w="295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63E02B" w14:textId="77777777" w:rsidR="00900DDF" w:rsidRDefault="00DF2216">
            <w:pPr>
              <w:rPr>
                <w:rFonts w:hint="eastAsia"/>
              </w:rPr>
            </w:pPr>
            <w:r>
              <w:rPr>
                <w:sz w:val="16"/>
              </w:rPr>
              <w:t>Response makes or repeats immigration/authorization claims without adequate support or leaves critical parts unresolved.</w:t>
            </w:r>
          </w:p>
        </w:tc>
      </w:tr>
      <w:tr w:rsidR="00900DDF" w14:paraId="120ACF8C" w14:textId="77777777" w:rsidTr="00A37FE9">
        <w:trPr>
          <w:trHeight w:val="839"/>
          <w:jc w:val="center"/>
        </w:trPr>
        <w:tc>
          <w:tcPr>
            <w:tcW w:w="25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047D66" w14:textId="77777777" w:rsidR="00900DDF" w:rsidRDefault="00DF2216">
            <w:pPr>
              <w:rPr>
                <w:rFonts w:hint="eastAsia"/>
              </w:rPr>
            </w:pPr>
            <w:r>
              <w:rPr>
                <w:sz w:val="16"/>
              </w:rPr>
              <w:t>Payment / offboarding</w:t>
            </w:r>
          </w:p>
        </w:tc>
        <w:tc>
          <w:tcPr>
            <w:tcW w:w="185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34B7DA8" w14:textId="77777777" w:rsidR="00900DDF" w:rsidRDefault="00DF2216">
            <w:pPr>
              <w:jc w:val="center"/>
              <w:rPr>
                <w:rFonts w:hint="eastAsia"/>
              </w:rPr>
            </w:pPr>
            <w:r>
              <w:rPr>
                <w:sz w:val="16"/>
              </w:rPr>
              <w:t>31</w:t>
            </w:r>
          </w:p>
        </w:tc>
        <w:tc>
          <w:tcPr>
            <w:tcW w:w="185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207A6F" w14:textId="77777777" w:rsidR="00900DDF" w:rsidRDefault="00DF2216">
            <w:pPr>
              <w:jc w:val="center"/>
              <w:rPr>
                <w:rFonts w:hint="eastAsia"/>
              </w:rPr>
            </w:pPr>
            <w:r>
              <w:rPr>
                <w:sz w:val="16"/>
              </w:rPr>
              <w:t>18.3%</w:t>
            </w:r>
          </w:p>
        </w:tc>
        <w:tc>
          <w:tcPr>
            <w:tcW w:w="295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305DD74" w14:textId="77777777" w:rsidR="00900DDF" w:rsidRDefault="00DF2216">
            <w:pPr>
              <w:rPr>
                <w:rFonts w:hint="eastAsia"/>
              </w:rPr>
            </w:pPr>
            <w:r>
              <w:rPr>
                <w:sz w:val="16"/>
              </w:rPr>
              <w:t>Apply the documented payment, resignation, membership-closure, and relieving-letter workflow.</w:t>
            </w:r>
          </w:p>
        </w:tc>
        <w:tc>
          <w:tcPr>
            <w:tcW w:w="295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30D588C" w14:textId="77777777" w:rsidR="00900DDF" w:rsidRDefault="00DF2216">
            <w:pPr>
              <w:rPr>
                <w:rFonts w:hint="eastAsia"/>
              </w:rPr>
            </w:pPr>
            <w:r>
              <w:rPr>
                <w:sz w:val="16"/>
              </w:rPr>
              <w:t>Response gives incomplete or unsupported payment/offboarding instructions, dates, or closure commitments.</w:t>
            </w:r>
          </w:p>
        </w:tc>
      </w:tr>
      <w:tr w:rsidR="00900DDF" w14:paraId="7745FB98" w14:textId="77777777" w:rsidTr="00A37FE9">
        <w:trPr>
          <w:trHeight w:val="839"/>
          <w:jc w:val="center"/>
        </w:trPr>
        <w:tc>
          <w:tcPr>
            <w:tcW w:w="25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C8FBC9" w14:textId="77777777" w:rsidR="00900DDF" w:rsidRDefault="00DF2216">
            <w:pPr>
              <w:rPr>
                <w:rFonts w:hint="eastAsia"/>
              </w:rPr>
            </w:pPr>
            <w:r>
              <w:rPr>
                <w:sz w:val="16"/>
              </w:rPr>
              <w:t>Generic / template response</w:t>
            </w:r>
          </w:p>
        </w:tc>
        <w:tc>
          <w:tcPr>
            <w:tcW w:w="185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0702444" w14:textId="77777777" w:rsidR="00900DDF" w:rsidRDefault="00DF2216">
            <w:pPr>
              <w:jc w:val="center"/>
              <w:rPr>
                <w:rFonts w:hint="eastAsia"/>
              </w:rPr>
            </w:pPr>
            <w:r>
              <w:rPr>
                <w:sz w:val="16"/>
              </w:rPr>
              <w:t>26</w:t>
            </w:r>
          </w:p>
        </w:tc>
        <w:tc>
          <w:tcPr>
            <w:tcW w:w="185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92BFACD" w14:textId="77777777" w:rsidR="00900DDF" w:rsidRDefault="00DF2216">
            <w:pPr>
              <w:jc w:val="center"/>
              <w:rPr>
                <w:rFonts w:hint="eastAsia"/>
              </w:rPr>
            </w:pPr>
            <w:r>
              <w:rPr>
                <w:sz w:val="16"/>
              </w:rPr>
              <w:t>15.4%</w:t>
            </w:r>
          </w:p>
        </w:tc>
        <w:tc>
          <w:tcPr>
            <w:tcW w:w="295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74169DB" w14:textId="77777777" w:rsidR="00900DDF" w:rsidRDefault="00DF2216">
            <w:pPr>
              <w:rPr>
                <w:rFonts w:hint="eastAsia"/>
              </w:rPr>
            </w:pPr>
            <w:r>
              <w:rPr>
                <w:sz w:val="16"/>
              </w:rPr>
              <w:t>Select the response pattern that matches the actual intent and case context.</w:t>
            </w:r>
          </w:p>
        </w:tc>
        <w:tc>
          <w:tcPr>
            <w:tcW w:w="295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86D92A" w14:textId="77777777" w:rsidR="00900DDF" w:rsidRDefault="00DF2216">
            <w:pPr>
              <w:rPr>
                <w:rFonts w:hint="eastAsia"/>
              </w:rPr>
            </w:pPr>
            <w:r>
              <w:rPr>
                <w:sz w:val="16"/>
              </w:rPr>
              <w:t>A generic onboarding/HR template is used even when the email requires a different workflow.</w:t>
            </w:r>
          </w:p>
        </w:tc>
      </w:tr>
    </w:tbl>
    <w:p w14:paraId="52D1E02B" w14:textId="77777777" w:rsidR="00900DDF" w:rsidRDefault="00DF2216">
      <w:pPr>
        <w:rPr>
          <w:rFonts w:hint="eastAsia"/>
        </w:rPr>
      </w:pPr>
      <w:r>
        <w:rPr>
          <w:b/>
          <w:color w:val="8A4B00"/>
          <w:sz w:val="16"/>
        </w:rPr>
        <w:t xml:space="preserve">Important: </w:t>
      </w:r>
      <w:r>
        <w:rPr>
          <w:color w:val="637487"/>
          <w:sz w:val="16"/>
        </w:rPr>
        <w:t>failure categories overlap. A single case can contain more than one failure type, so percentages are not expected to total 100%.</w:t>
      </w:r>
    </w:p>
    <w:p w14:paraId="4F93F90F" w14:textId="77777777" w:rsidR="00213C6B" w:rsidRDefault="00213C6B">
      <w:pPr>
        <w:spacing w:before="160" w:after="80"/>
        <w:rPr>
          <w:b/>
          <w:color w:val="1F4E79"/>
          <w:sz w:val="26"/>
        </w:rPr>
      </w:pPr>
    </w:p>
    <w:p w14:paraId="305B86E4" w14:textId="77777777" w:rsidR="00213C6B" w:rsidRDefault="00213C6B">
      <w:pPr>
        <w:spacing w:before="160" w:after="80"/>
        <w:rPr>
          <w:b/>
          <w:color w:val="1F4E79"/>
          <w:sz w:val="26"/>
        </w:rPr>
      </w:pPr>
    </w:p>
    <w:p w14:paraId="5891A577" w14:textId="7AC69BFF" w:rsidR="00900DDF" w:rsidRDefault="00DF2216">
      <w:pPr>
        <w:spacing w:before="160" w:after="80"/>
        <w:rPr>
          <w:rFonts w:hint="eastAsia"/>
        </w:rPr>
      </w:pPr>
      <w:r>
        <w:rPr>
          <w:b/>
          <w:color w:val="1F4E79"/>
          <w:sz w:val="26"/>
        </w:rPr>
        <w:lastRenderedPageBreak/>
        <w:t>2. What this means for response accuracy</w:t>
      </w:r>
    </w:p>
    <w:p w14:paraId="6685A9E2" w14:textId="77777777" w:rsidR="00900DDF" w:rsidRDefault="00DF2216">
      <w:pPr>
        <w:pStyle w:val="ListBullet"/>
        <w:spacing w:after="40"/>
        <w:rPr>
          <w:rFonts w:hint="eastAsia"/>
        </w:rPr>
      </w:pPr>
      <w:r>
        <w:rPr>
          <w:sz w:val="18"/>
        </w:rPr>
        <w:t>Evidence/policy support is the most frequent theme: 93 cases (55.0%) contain this issue.</w:t>
      </w:r>
    </w:p>
    <w:p w14:paraId="30D33345" w14:textId="77777777" w:rsidR="00900DDF" w:rsidRDefault="00DF2216">
      <w:pPr>
        <w:pStyle w:val="ListBullet"/>
        <w:spacing w:after="40"/>
        <w:rPr>
          <w:rFonts w:hint="eastAsia"/>
        </w:rPr>
      </w:pPr>
      <w:r>
        <w:rPr>
          <w:sz w:val="18"/>
        </w:rPr>
        <w:t>Process/timeline issues appear in 69 cases (40.8%), often involving unsupported turnaround or workflow statements.</w:t>
      </w:r>
    </w:p>
    <w:p w14:paraId="3162B4AF" w14:textId="77777777" w:rsidR="00900DDF" w:rsidRDefault="00DF2216">
      <w:pPr>
        <w:pStyle w:val="ListBullet"/>
        <w:spacing w:after="40"/>
        <w:rPr>
          <w:rFonts w:hint="eastAsia"/>
        </w:rPr>
      </w:pPr>
      <w:r>
        <w:rPr>
          <w:sz w:val="18"/>
        </w:rPr>
        <w:t>Intent-handling issues appear in 46 cases (27.2%), including multi-intent emails and responses that miss the main request.</w:t>
      </w:r>
    </w:p>
    <w:p w14:paraId="32BA7684" w14:textId="77777777" w:rsidR="00900DDF" w:rsidRDefault="00DF2216">
      <w:pPr>
        <w:pStyle w:val="ListBullet"/>
        <w:spacing w:after="40"/>
        <w:rPr>
          <w:rFonts w:hint="eastAsia"/>
        </w:rPr>
      </w:pPr>
      <w:r>
        <w:rPr>
          <w:sz w:val="18"/>
        </w:rPr>
        <w:t>Immigration-sensitive cases appear in 39 cases (23.1%); these require stronger evidence checks and controlled escalation.</w:t>
      </w:r>
    </w:p>
    <w:p w14:paraId="366170BC" w14:textId="77777777" w:rsidR="00900DDF" w:rsidRDefault="00DF2216">
      <w:pPr>
        <w:rPr>
          <w:rFonts w:hint="eastAsia"/>
        </w:rPr>
      </w:pPr>
      <w:r>
        <w:br w:type="page"/>
      </w:r>
    </w:p>
    <w:p w14:paraId="532E9A69" w14:textId="77777777" w:rsidR="00900DDF" w:rsidRDefault="00DF2216">
      <w:pPr>
        <w:spacing w:after="40"/>
        <w:rPr>
          <w:rFonts w:hint="eastAsia"/>
        </w:rPr>
      </w:pPr>
      <w:r>
        <w:rPr>
          <w:b/>
          <w:color w:val="183B56"/>
          <w:sz w:val="36"/>
        </w:rPr>
        <w:lastRenderedPageBreak/>
        <w:t>3. Testing &amp; validation plan for the replicated system</w:t>
      </w:r>
    </w:p>
    <w:p w14:paraId="3DE69E3D" w14:textId="77777777" w:rsidR="00900DDF" w:rsidRDefault="00DF2216">
      <w:pPr>
        <w:rPr>
          <w:rFonts w:hint="eastAsia"/>
        </w:rPr>
      </w:pPr>
      <w:r>
        <w:rPr>
          <w:color w:val="637487"/>
        </w:rPr>
        <w:t>Each existing review case can become a reusable test case for integration and end-to-end validation.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85"/>
        <w:gridCol w:w="1946"/>
        <w:gridCol w:w="2693"/>
        <w:gridCol w:w="2842"/>
        <w:gridCol w:w="1770"/>
      </w:tblGrid>
      <w:tr w:rsidR="00900DDF" w14:paraId="3518679F" w14:textId="77777777">
        <w:trPr>
          <w:jc w:val="center"/>
        </w:trPr>
        <w:tc>
          <w:tcPr>
            <w:tcW w:w="792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35159CF" w14:textId="77777777" w:rsidR="00900DDF" w:rsidRDefault="00DF2216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w="2376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2EF3742" w14:textId="77777777" w:rsidR="00900DDF" w:rsidRDefault="00DF2216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Test area</w:t>
            </w:r>
          </w:p>
        </w:tc>
        <w:tc>
          <w:tcPr>
            <w:tcW w:w="3240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E27CFBE" w14:textId="77777777" w:rsidR="00900DDF" w:rsidRDefault="00DF2216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Expected</w:t>
            </w:r>
          </w:p>
        </w:tc>
        <w:tc>
          <w:tcPr>
            <w:tcW w:w="3240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859941A" w14:textId="77777777" w:rsidR="00900DDF" w:rsidRDefault="00DF2216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Actual / observed gap</w:t>
            </w:r>
          </w:p>
        </w:tc>
        <w:tc>
          <w:tcPr>
            <w:tcW w:w="1728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F936862" w14:textId="77777777" w:rsidR="00900DDF" w:rsidRDefault="00DF2216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Validation priority</w:t>
            </w:r>
          </w:p>
        </w:tc>
      </w:tr>
      <w:tr w:rsidR="00900DDF" w14:paraId="4911FA00" w14:textId="77777777">
        <w:trPr>
          <w:jc w:val="center"/>
        </w:trPr>
        <w:tc>
          <w:tcPr>
            <w:tcW w:w="213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44C0772" w14:textId="77777777" w:rsidR="00900DDF" w:rsidRDefault="00DF2216">
            <w:pPr>
              <w:jc w:val="center"/>
              <w:rPr>
                <w:rFonts w:hint="eastAsia"/>
              </w:rPr>
            </w:pPr>
            <w:r>
              <w:rPr>
                <w:sz w:val="16"/>
              </w:rPr>
              <w:t>01</w:t>
            </w:r>
          </w:p>
        </w:tc>
        <w:tc>
          <w:tcPr>
            <w:tcW w:w="213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3C65B3B" w14:textId="77777777" w:rsidR="00900DDF" w:rsidRDefault="00DF2216">
            <w:pPr>
              <w:rPr>
                <w:rFonts w:hint="eastAsia"/>
              </w:rPr>
            </w:pPr>
            <w:r>
              <w:rPr>
                <w:sz w:val="16"/>
              </w:rPr>
              <w:t>Evidence retrieval</w:t>
            </w:r>
          </w:p>
        </w:tc>
        <w:tc>
          <w:tcPr>
            <w:tcW w:w="213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BA6D6D4" w14:textId="77777777" w:rsidR="00900DDF" w:rsidRDefault="00DF2216">
            <w:pPr>
              <w:rPr>
                <w:rFonts w:hint="eastAsia"/>
              </w:rPr>
            </w:pPr>
            <w:r>
              <w:rPr>
                <w:sz w:val="16"/>
              </w:rPr>
              <w:t>Relevant policy/KB evidence is retrieved and supports the answer.</w:t>
            </w:r>
          </w:p>
        </w:tc>
        <w:tc>
          <w:tcPr>
            <w:tcW w:w="213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A8C482C" w14:textId="77777777" w:rsidR="00900DDF" w:rsidRDefault="00DF2216">
            <w:pPr>
              <w:rPr>
                <w:rFonts w:hint="eastAsia"/>
              </w:rPr>
            </w:pPr>
            <w:r>
              <w:rPr>
                <w:sz w:val="16"/>
              </w:rPr>
              <w:t>Unsupported or weakly supported policy/process claims.</w:t>
            </w:r>
          </w:p>
        </w:tc>
        <w:tc>
          <w:tcPr>
            <w:tcW w:w="213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CE4D6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2B9B2ED" w14:textId="77777777" w:rsidR="00900DDF" w:rsidRDefault="00DF2216">
            <w:pPr>
              <w:jc w:val="center"/>
              <w:rPr>
                <w:rFonts w:hint="eastAsia"/>
              </w:rPr>
            </w:pPr>
            <w:r>
              <w:rPr>
                <w:sz w:val="16"/>
              </w:rPr>
              <w:t>High</w:t>
            </w:r>
          </w:p>
        </w:tc>
      </w:tr>
      <w:tr w:rsidR="00900DDF" w14:paraId="6B17AA40" w14:textId="77777777">
        <w:trPr>
          <w:jc w:val="center"/>
        </w:trPr>
        <w:tc>
          <w:tcPr>
            <w:tcW w:w="213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1B0ABEA" w14:textId="77777777" w:rsidR="00900DDF" w:rsidRDefault="00DF2216">
            <w:pPr>
              <w:jc w:val="center"/>
              <w:rPr>
                <w:rFonts w:hint="eastAsia"/>
              </w:rPr>
            </w:pPr>
            <w:r>
              <w:rPr>
                <w:sz w:val="16"/>
              </w:rPr>
              <w:t>02</w:t>
            </w:r>
          </w:p>
        </w:tc>
        <w:tc>
          <w:tcPr>
            <w:tcW w:w="213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1C008A7" w14:textId="77777777" w:rsidR="00900DDF" w:rsidRDefault="00DF2216">
            <w:pPr>
              <w:rPr>
                <w:rFonts w:hint="eastAsia"/>
              </w:rPr>
            </w:pPr>
            <w:r>
              <w:rPr>
                <w:sz w:val="16"/>
              </w:rPr>
              <w:t>Intent extraction</w:t>
            </w:r>
          </w:p>
        </w:tc>
        <w:tc>
          <w:tcPr>
            <w:tcW w:w="213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F189D93" w14:textId="77777777" w:rsidR="00900DDF" w:rsidRDefault="00DF2216">
            <w:pPr>
              <w:rPr>
                <w:rFonts w:hint="eastAsia"/>
              </w:rPr>
            </w:pPr>
            <w:r>
              <w:rPr>
                <w:sz w:val="16"/>
              </w:rPr>
              <w:t>All material requests in a multi-intent email are identified.</w:t>
            </w:r>
          </w:p>
        </w:tc>
        <w:tc>
          <w:tcPr>
            <w:tcW w:w="213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E61DF02" w14:textId="77777777" w:rsidR="00900DDF" w:rsidRDefault="00DF2216">
            <w:pPr>
              <w:rPr>
                <w:rFonts w:hint="eastAsia"/>
              </w:rPr>
            </w:pPr>
            <w:r>
              <w:rPr>
                <w:sz w:val="16"/>
              </w:rPr>
              <w:t>One request answered while other questions are missed.</w:t>
            </w:r>
          </w:p>
        </w:tc>
        <w:tc>
          <w:tcPr>
            <w:tcW w:w="213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CE4D6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BB50898" w14:textId="77777777" w:rsidR="00900DDF" w:rsidRDefault="00DF2216">
            <w:pPr>
              <w:jc w:val="center"/>
              <w:rPr>
                <w:rFonts w:hint="eastAsia"/>
              </w:rPr>
            </w:pPr>
            <w:r>
              <w:rPr>
                <w:sz w:val="16"/>
              </w:rPr>
              <w:t>High</w:t>
            </w:r>
          </w:p>
        </w:tc>
      </w:tr>
      <w:tr w:rsidR="00900DDF" w14:paraId="7D9C7C50" w14:textId="77777777">
        <w:trPr>
          <w:jc w:val="center"/>
        </w:trPr>
        <w:tc>
          <w:tcPr>
            <w:tcW w:w="213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5EB3CFC" w14:textId="77777777" w:rsidR="00900DDF" w:rsidRDefault="00DF2216">
            <w:pPr>
              <w:jc w:val="center"/>
              <w:rPr>
                <w:rFonts w:hint="eastAsia"/>
              </w:rPr>
            </w:pPr>
            <w:r>
              <w:rPr>
                <w:sz w:val="16"/>
              </w:rPr>
              <w:t>03</w:t>
            </w:r>
          </w:p>
        </w:tc>
        <w:tc>
          <w:tcPr>
            <w:tcW w:w="213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C8F3A08" w14:textId="77777777" w:rsidR="00900DDF" w:rsidRDefault="00DF2216">
            <w:pPr>
              <w:rPr>
                <w:rFonts w:hint="eastAsia"/>
              </w:rPr>
            </w:pPr>
            <w:r>
              <w:rPr>
                <w:sz w:val="16"/>
              </w:rPr>
              <w:t>Workflow selection</w:t>
            </w:r>
          </w:p>
        </w:tc>
        <w:tc>
          <w:tcPr>
            <w:tcW w:w="213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DB21E60" w14:textId="77777777" w:rsidR="00900DDF" w:rsidRDefault="00DF2216">
            <w:pPr>
              <w:rPr>
                <w:rFonts w:hint="eastAsia"/>
              </w:rPr>
            </w:pPr>
            <w:r>
              <w:rPr>
                <w:sz w:val="16"/>
              </w:rPr>
              <w:t>Correct workflow/category is selected from the email context.</w:t>
            </w:r>
          </w:p>
        </w:tc>
        <w:tc>
          <w:tcPr>
            <w:tcW w:w="213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543F7B6" w14:textId="77777777" w:rsidR="00900DDF" w:rsidRDefault="00DF2216">
            <w:pPr>
              <w:rPr>
                <w:rFonts w:hint="eastAsia"/>
              </w:rPr>
            </w:pPr>
            <w:r>
              <w:rPr>
                <w:sz w:val="16"/>
              </w:rPr>
              <w:t>Generic onboarding or unrelated workflow is triggered.</w:t>
            </w:r>
          </w:p>
        </w:tc>
        <w:tc>
          <w:tcPr>
            <w:tcW w:w="213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CE4D6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B82A263" w14:textId="77777777" w:rsidR="00900DDF" w:rsidRDefault="00DF2216">
            <w:pPr>
              <w:jc w:val="center"/>
              <w:rPr>
                <w:rFonts w:hint="eastAsia"/>
              </w:rPr>
            </w:pPr>
            <w:r>
              <w:rPr>
                <w:sz w:val="16"/>
              </w:rPr>
              <w:t>High</w:t>
            </w:r>
          </w:p>
        </w:tc>
      </w:tr>
      <w:tr w:rsidR="00900DDF" w14:paraId="6610CBF7" w14:textId="77777777">
        <w:trPr>
          <w:jc w:val="center"/>
        </w:trPr>
        <w:tc>
          <w:tcPr>
            <w:tcW w:w="213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75A0CC9" w14:textId="77777777" w:rsidR="00900DDF" w:rsidRDefault="00DF2216">
            <w:pPr>
              <w:jc w:val="center"/>
              <w:rPr>
                <w:rFonts w:hint="eastAsia"/>
              </w:rPr>
            </w:pPr>
            <w:r>
              <w:rPr>
                <w:sz w:val="16"/>
              </w:rPr>
              <w:t>04</w:t>
            </w:r>
          </w:p>
        </w:tc>
        <w:tc>
          <w:tcPr>
            <w:tcW w:w="213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4A96172" w14:textId="77777777" w:rsidR="00900DDF" w:rsidRDefault="00DF2216">
            <w:pPr>
              <w:rPr>
                <w:rFonts w:hint="eastAsia"/>
              </w:rPr>
            </w:pPr>
            <w:r>
              <w:rPr>
                <w:sz w:val="16"/>
              </w:rPr>
              <w:t>Sensitive handling</w:t>
            </w:r>
          </w:p>
        </w:tc>
        <w:tc>
          <w:tcPr>
            <w:tcW w:w="213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10C37F2" w14:textId="77777777" w:rsidR="00900DDF" w:rsidRDefault="00DF2216">
            <w:pPr>
              <w:rPr>
                <w:rFonts w:hint="eastAsia"/>
              </w:rPr>
            </w:pPr>
            <w:r>
              <w:rPr>
                <w:sz w:val="16"/>
              </w:rPr>
              <w:t>Sensitive immigration/HR topics are grounded in approved evidence or routed for review.</w:t>
            </w:r>
          </w:p>
        </w:tc>
        <w:tc>
          <w:tcPr>
            <w:tcW w:w="213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CCAF71C" w14:textId="77777777" w:rsidR="00900DDF" w:rsidRDefault="00DF2216">
            <w:pPr>
              <w:rPr>
                <w:rFonts w:hint="eastAsia"/>
              </w:rPr>
            </w:pPr>
            <w:r>
              <w:rPr>
                <w:sz w:val="16"/>
              </w:rPr>
              <w:t>Unsupported claims or incomplete guidance are returned.</w:t>
            </w:r>
          </w:p>
        </w:tc>
        <w:tc>
          <w:tcPr>
            <w:tcW w:w="213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CE4D6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176CFDB" w14:textId="77777777" w:rsidR="00900DDF" w:rsidRDefault="00DF2216">
            <w:pPr>
              <w:jc w:val="center"/>
              <w:rPr>
                <w:rFonts w:hint="eastAsia"/>
              </w:rPr>
            </w:pPr>
            <w:r>
              <w:rPr>
                <w:sz w:val="16"/>
              </w:rPr>
              <w:t>High</w:t>
            </w:r>
          </w:p>
        </w:tc>
      </w:tr>
      <w:tr w:rsidR="00900DDF" w14:paraId="653BDA27" w14:textId="77777777">
        <w:trPr>
          <w:jc w:val="center"/>
        </w:trPr>
        <w:tc>
          <w:tcPr>
            <w:tcW w:w="213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D6DA08B" w14:textId="77777777" w:rsidR="00900DDF" w:rsidRDefault="00DF2216">
            <w:pPr>
              <w:jc w:val="center"/>
              <w:rPr>
                <w:rFonts w:hint="eastAsia"/>
              </w:rPr>
            </w:pPr>
            <w:r>
              <w:rPr>
                <w:sz w:val="16"/>
              </w:rPr>
              <w:t>05</w:t>
            </w:r>
          </w:p>
        </w:tc>
        <w:tc>
          <w:tcPr>
            <w:tcW w:w="213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1B4B7DB" w14:textId="77777777" w:rsidR="00900DDF" w:rsidRDefault="00DF2216">
            <w:pPr>
              <w:rPr>
                <w:rFonts w:hint="eastAsia"/>
              </w:rPr>
            </w:pPr>
            <w:r>
              <w:rPr>
                <w:sz w:val="16"/>
              </w:rPr>
              <w:t>Timeline controls</w:t>
            </w:r>
          </w:p>
        </w:tc>
        <w:tc>
          <w:tcPr>
            <w:tcW w:w="213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CFE31B6" w14:textId="77777777" w:rsidR="00900DDF" w:rsidRDefault="00DF2216">
            <w:pPr>
              <w:rPr>
                <w:rFonts w:hint="eastAsia"/>
              </w:rPr>
            </w:pPr>
            <w:r>
              <w:rPr>
                <w:sz w:val="16"/>
              </w:rPr>
              <w:t>Only documented timelines are stated; otherwise the response routes/asks for confirmation.</w:t>
            </w:r>
          </w:p>
        </w:tc>
        <w:tc>
          <w:tcPr>
            <w:tcW w:w="213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EC5F532" w14:textId="77777777" w:rsidR="00900DDF" w:rsidRDefault="00DF2216">
            <w:pPr>
              <w:rPr>
                <w:rFonts w:hint="eastAsia"/>
              </w:rPr>
            </w:pPr>
            <w:r>
              <w:rPr>
                <w:sz w:val="16"/>
              </w:rPr>
              <w:t>Unverified 1–3, 2–5, 24–48 hour or similar commitments appear.</w:t>
            </w:r>
          </w:p>
        </w:tc>
        <w:tc>
          <w:tcPr>
            <w:tcW w:w="213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CE4D6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B5C7687" w14:textId="77777777" w:rsidR="00900DDF" w:rsidRDefault="00DF2216">
            <w:pPr>
              <w:jc w:val="center"/>
              <w:rPr>
                <w:rFonts w:hint="eastAsia"/>
              </w:rPr>
            </w:pPr>
            <w:r>
              <w:rPr>
                <w:sz w:val="16"/>
              </w:rPr>
              <w:t>High</w:t>
            </w:r>
          </w:p>
        </w:tc>
      </w:tr>
      <w:tr w:rsidR="00900DDF" w14:paraId="62AFAD58" w14:textId="77777777">
        <w:trPr>
          <w:jc w:val="center"/>
        </w:trPr>
        <w:tc>
          <w:tcPr>
            <w:tcW w:w="213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42D0473" w14:textId="77777777" w:rsidR="00900DDF" w:rsidRDefault="00DF2216">
            <w:pPr>
              <w:jc w:val="center"/>
              <w:rPr>
                <w:rFonts w:hint="eastAsia"/>
              </w:rPr>
            </w:pPr>
            <w:r>
              <w:rPr>
                <w:sz w:val="16"/>
              </w:rPr>
              <w:t>06</w:t>
            </w:r>
          </w:p>
        </w:tc>
        <w:tc>
          <w:tcPr>
            <w:tcW w:w="213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E109A67" w14:textId="77777777" w:rsidR="00900DDF" w:rsidRDefault="00DF2216">
            <w:pPr>
              <w:rPr>
                <w:rFonts w:hint="eastAsia"/>
              </w:rPr>
            </w:pPr>
            <w:r>
              <w:rPr>
                <w:sz w:val="16"/>
              </w:rPr>
              <w:t>Payment / offboarding</w:t>
            </w:r>
          </w:p>
        </w:tc>
        <w:tc>
          <w:tcPr>
            <w:tcW w:w="213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E00271A" w14:textId="77777777" w:rsidR="00900DDF" w:rsidRDefault="00DF2216">
            <w:pPr>
              <w:rPr>
                <w:rFonts w:hint="eastAsia"/>
              </w:rPr>
            </w:pPr>
            <w:r>
              <w:rPr>
                <w:sz w:val="16"/>
              </w:rPr>
              <w:t>Payment, resignation, closure, and relieving-letter rules match the documented process.</w:t>
            </w:r>
          </w:p>
        </w:tc>
        <w:tc>
          <w:tcPr>
            <w:tcW w:w="213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6E8E770" w14:textId="77777777" w:rsidR="00900DDF" w:rsidRDefault="00DF2216">
            <w:pPr>
              <w:rPr>
                <w:rFonts w:hint="eastAsia"/>
              </w:rPr>
            </w:pPr>
            <w:r>
              <w:rPr>
                <w:sz w:val="16"/>
              </w:rPr>
              <w:t>Dates, amounts, closure steps, or document commitments are incomplete/unsupported.</w:t>
            </w:r>
          </w:p>
        </w:tc>
        <w:tc>
          <w:tcPr>
            <w:tcW w:w="213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CE4D6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003891B" w14:textId="77777777" w:rsidR="00900DDF" w:rsidRDefault="00DF2216">
            <w:pPr>
              <w:jc w:val="center"/>
              <w:rPr>
                <w:rFonts w:hint="eastAsia"/>
              </w:rPr>
            </w:pPr>
            <w:r>
              <w:rPr>
                <w:sz w:val="16"/>
              </w:rPr>
              <w:t>High</w:t>
            </w:r>
          </w:p>
        </w:tc>
      </w:tr>
      <w:tr w:rsidR="00900DDF" w14:paraId="48CA9804" w14:textId="77777777">
        <w:trPr>
          <w:jc w:val="center"/>
        </w:trPr>
        <w:tc>
          <w:tcPr>
            <w:tcW w:w="213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899EF53" w14:textId="77777777" w:rsidR="00900DDF" w:rsidRDefault="00DF2216">
            <w:pPr>
              <w:jc w:val="center"/>
              <w:rPr>
                <w:rFonts w:hint="eastAsia"/>
              </w:rPr>
            </w:pPr>
            <w:r>
              <w:rPr>
                <w:sz w:val="16"/>
              </w:rPr>
              <w:t>07</w:t>
            </w:r>
          </w:p>
        </w:tc>
        <w:tc>
          <w:tcPr>
            <w:tcW w:w="213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47EFB47" w14:textId="77777777" w:rsidR="00900DDF" w:rsidRDefault="00DF2216">
            <w:pPr>
              <w:rPr>
                <w:rFonts w:hint="eastAsia"/>
              </w:rPr>
            </w:pPr>
            <w:r>
              <w:rPr>
                <w:sz w:val="16"/>
              </w:rPr>
              <w:t>Confidence calibration</w:t>
            </w:r>
          </w:p>
        </w:tc>
        <w:tc>
          <w:tcPr>
            <w:tcW w:w="213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67A8824" w14:textId="77777777" w:rsidR="00900DDF" w:rsidRDefault="00DF2216">
            <w:pPr>
              <w:rPr>
                <w:rFonts w:hint="eastAsia"/>
              </w:rPr>
            </w:pPr>
            <w:r>
              <w:rPr>
                <w:sz w:val="16"/>
              </w:rPr>
              <w:t>High confidence does not bypass evidence and correctness checks.</w:t>
            </w:r>
          </w:p>
        </w:tc>
        <w:tc>
          <w:tcPr>
            <w:tcW w:w="213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5C5B382" w14:textId="77777777" w:rsidR="00900DDF" w:rsidRDefault="00DF2216">
            <w:pPr>
              <w:rPr>
                <w:rFonts w:hint="eastAsia"/>
              </w:rPr>
            </w:pPr>
            <w:r>
              <w:rPr>
                <w:sz w:val="16"/>
              </w:rPr>
              <w:t>High-confidence responses can still be incorrect or unsupported.</w:t>
            </w:r>
          </w:p>
        </w:tc>
        <w:tc>
          <w:tcPr>
            <w:tcW w:w="213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CE4D6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C844152" w14:textId="77777777" w:rsidR="00900DDF" w:rsidRDefault="00DF2216">
            <w:pPr>
              <w:jc w:val="center"/>
              <w:rPr>
                <w:rFonts w:hint="eastAsia"/>
              </w:rPr>
            </w:pPr>
            <w:r>
              <w:rPr>
                <w:sz w:val="16"/>
              </w:rPr>
              <w:t>High</w:t>
            </w:r>
          </w:p>
        </w:tc>
      </w:tr>
    </w:tbl>
    <w:p w14:paraId="1F36B842" w14:textId="77777777" w:rsidR="00900DDF" w:rsidRDefault="00DF2216">
      <w:pPr>
        <w:spacing w:before="200" w:after="80"/>
        <w:rPr>
          <w:rFonts w:hint="eastAsia"/>
        </w:rPr>
      </w:pPr>
      <w:r>
        <w:rPr>
          <w:b/>
          <w:color w:val="1F4E79"/>
          <w:sz w:val="26"/>
        </w:rPr>
        <w:t>4. Recommended validation workflow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00DDF" w14:paraId="15745F26" w14:textId="77777777">
        <w:trPr>
          <w:jc w:val="center"/>
        </w:trPr>
        <w:tc>
          <w:tcPr>
            <w:tcW w:w="5328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147778C" w14:textId="77777777" w:rsidR="00900DDF" w:rsidRDefault="00DF2216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Stage</w:t>
            </w:r>
          </w:p>
        </w:tc>
        <w:tc>
          <w:tcPr>
            <w:tcW w:w="5328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DC1F8D8" w14:textId="77777777" w:rsidR="00900DDF" w:rsidRDefault="00DF2216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What to track</w:t>
            </w:r>
          </w:p>
        </w:tc>
      </w:tr>
      <w:tr w:rsidR="00900DDF" w14:paraId="0099F730" w14:textId="77777777">
        <w:trPr>
          <w:jc w:val="center"/>
        </w:trPr>
        <w:tc>
          <w:tcPr>
            <w:tcW w:w="53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C72DED7" w14:textId="77777777" w:rsidR="00900DDF" w:rsidRDefault="00DF2216">
            <w:pPr>
              <w:rPr>
                <w:rFonts w:hint="eastAsia"/>
              </w:rPr>
            </w:pPr>
            <w:r>
              <w:rPr>
                <w:sz w:val="16"/>
              </w:rPr>
              <w:t>Baseline</w:t>
            </w:r>
          </w:p>
        </w:tc>
        <w:tc>
          <w:tcPr>
            <w:tcW w:w="53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DDBB41F" w14:textId="77777777" w:rsidR="00900DDF" w:rsidRDefault="00DF2216">
            <w:pPr>
              <w:rPr>
                <w:rFonts w:hint="eastAsia"/>
              </w:rPr>
            </w:pPr>
            <w:r>
              <w:rPr>
                <w:sz w:val="16"/>
              </w:rPr>
              <w:t>Use the reviewed HR cases as the baseline set and preserve the original email, expected behavior, AI response, and review outcome.</w:t>
            </w:r>
          </w:p>
        </w:tc>
      </w:tr>
      <w:tr w:rsidR="00900DDF" w14:paraId="6CECFCF3" w14:textId="77777777">
        <w:trPr>
          <w:jc w:val="center"/>
        </w:trPr>
        <w:tc>
          <w:tcPr>
            <w:tcW w:w="53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DAC8B76" w14:textId="77777777" w:rsidR="00900DDF" w:rsidRDefault="00DF2216">
            <w:pPr>
              <w:rPr>
                <w:rFonts w:hint="eastAsia"/>
              </w:rPr>
            </w:pPr>
            <w:r>
              <w:rPr>
                <w:sz w:val="16"/>
              </w:rPr>
              <w:t>Replicated-system execution</w:t>
            </w:r>
          </w:p>
        </w:tc>
        <w:tc>
          <w:tcPr>
            <w:tcW w:w="53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F6EE8FC" w14:textId="77777777" w:rsidR="00900DDF" w:rsidRDefault="00DF2216">
            <w:pPr>
              <w:rPr>
                <w:rFonts w:hint="eastAsia"/>
              </w:rPr>
            </w:pPr>
            <w:r>
              <w:rPr>
                <w:sz w:val="16"/>
              </w:rPr>
              <w:t>Run the same scenarios against the replicated system as Akshaya and Nithish complete their components.</w:t>
            </w:r>
          </w:p>
        </w:tc>
      </w:tr>
      <w:tr w:rsidR="00900DDF" w14:paraId="54BF2119" w14:textId="77777777">
        <w:trPr>
          <w:jc w:val="center"/>
        </w:trPr>
        <w:tc>
          <w:tcPr>
            <w:tcW w:w="53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AB0DFED" w14:textId="77777777" w:rsidR="00900DDF" w:rsidRDefault="00DF2216">
            <w:pPr>
              <w:rPr>
                <w:rFonts w:hint="eastAsia"/>
              </w:rPr>
            </w:pPr>
            <w:r>
              <w:rPr>
                <w:sz w:val="16"/>
              </w:rPr>
              <w:t>Expected vs. actual</w:t>
            </w:r>
          </w:p>
        </w:tc>
        <w:tc>
          <w:tcPr>
            <w:tcW w:w="53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E8B656F" w14:textId="77777777" w:rsidR="00900DDF" w:rsidRDefault="00DF2216">
            <w:pPr>
              <w:rPr>
                <w:rFonts w:hint="eastAsia"/>
              </w:rPr>
            </w:pPr>
            <w:r>
              <w:rPr>
                <w:sz w:val="16"/>
              </w:rPr>
              <w:t>Record whether intent, evidence retrieval, response content, routing, and action match the baseline expectation.</w:t>
            </w:r>
          </w:p>
        </w:tc>
      </w:tr>
      <w:tr w:rsidR="00900DDF" w14:paraId="77D17CC6" w14:textId="77777777">
        <w:trPr>
          <w:jc w:val="center"/>
        </w:trPr>
        <w:tc>
          <w:tcPr>
            <w:tcW w:w="53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365AAC0" w14:textId="77777777" w:rsidR="00900DDF" w:rsidRDefault="00DF2216">
            <w:pPr>
              <w:rPr>
                <w:rFonts w:hint="eastAsia"/>
              </w:rPr>
            </w:pPr>
            <w:r>
              <w:rPr>
                <w:sz w:val="16"/>
              </w:rPr>
              <w:t>Defect classification</w:t>
            </w:r>
          </w:p>
        </w:tc>
        <w:tc>
          <w:tcPr>
            <w:tcW w:w="53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E546C74" w14:textId="77777777" w:rsidR="00900DDF" w:rsidRDefault="00DF2216">
            <w:pPr>
              <w:rPr>
                <w:rFonts w:hint="eastAsia"/>
              </w:rPr>
            </w:pPr>
            <w:r>
              <w:rPr>
                <w:sz w:val="16"/>
              </w:rPr>
              <w:t>Tag the failure using the categories above so repeated problems can be grouped and quantified.</w:t>
            </w:r>
          </w:p>
        </w:tc>
      </w:tr>
      <w:tr w:rsidR="00900DDF" w14:paraId="4DFB7838" w14:textId="77777777">
        <w:trPr>
          <w:jc w:val="center"/>
        </w:trPr>
        <w:tc>
          <w:tcPr>
            <w:tcW w:w="53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AACA194" w14:textId="77777777" w:rsidR="00900DDF" w:rsidRDefault="00DF2216">
            <w:pPr>
              <w:rPr>
                <w:rFonts w:hint="eastAsia"/>
              </w:rPr>
            </w:pPr>
            <w:r>
              <w:rPr>
                <w:sz w:val="16"/>
              </w:rPr>
              <w:t>Integration / E2E</w:t>
            </w:r>
          </w:p>
        </w:tc>
        <w:tc>
          <w:tcPr>
            <w:tcW w:w="53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BBF891B" w14:textId="77777777" w:rsidR="00900DDF" w:rsidRDefault="00DF2216">
            <w:pPr>
              <w:rPr>
                <w:rFonts w:hint="eastAsia"/>
              </w:rPr>
            </w:pPr>
            <w:r>
              <w:rPr>
                <w:sz w:val="16"/>
              </w:rPr>
              <w:t>Re-run the highest-impact scenarios after fixes and confirm that the failure pattern no longer reproduces.</w:t>
            </w:r>
          </w:p>
        </w:tc>
      </w:tr>
    </w:tbl>
    <w:p w14:paraId="433FEB03" w14:textId="77777777" w:rsidR="00900DDF" w:rsidRDefault="00DF2216">
      <w:pPr>
        <w:spacing w:before="200"/>
        <w:rPr>
          <w:rFonts w:hint="eastAsia"/>
        </w:rPr>
      </w:pPr>
      <w:r>
        <w:rPr>
          <w:b/>
          <w:color w:val="1F4E79"/>
          <w:sz w:val="24"/>
        </w:rPr>
        <w:t>Dashboard takeaway</w:t>
      </w:r>
    </w:p>
    <w:p w14:paraId="0627B6CC" w14:textId="77777777" w:rsidR="00900DDF" w:rsidRDefault="00DF2216">
      <w:pPr>
        <w:rPr>
          <w:rFonts w:hint="eastAsia"/>
        </w:rPr>
      </w:pPr>
      <w:r>
        <w:lastRenderedPageBreak/>
        <w:t xml:space="preserve">The main validation need is to move from </w:t>
      </w:r>
      <w:r>
        <w:rPr>
          <w:b/>
        </w:rPr>
        <w:t>“the model produced a response”</w:t>
      </w:r>
      <w:r>
        <w:t xml:space="preserve"> to </w:t>
      </w:r>
      <w:r>
        <w:rPr>
          <w:b/>
          <w:color w:val="183B56"/>
        </w:rPr>
        <w:t>“the model produced the evidence-supported response expected for that workflow.”</w:t>
      </w:r>
      <w:r>
        <w:t xml:space="preserve"> The failure breakdown above provides the categories to track consistently during replication and end-to-end testing.</w:t>
      </w:r>
    </w:p>
    <w:p w14:paraId="3C9C6862" w14:textId="77777777" w:rsidR="00900DDF" w:rsidRDefault="00DF2216">
      <w:pPr>
        <w:rPr>
          <w:rFonts w:hint="eastAsia"/>
        </w:rPr>
      </w:pPr>
      <w:r>
        <w:rPr>
          <w:b/>
          <w:color w:val="637487"/>
          <w:sz w:val="16"/>
        </w:rPr>
        <w:t xml:space="preserve">Source/method note: </w:t>
      </w:r>
      <w:r>
        <w:rPr>
          <w:color w:val="637487"/>
          <w:sz w:val="16"/>
        </w:rPr>
        <w:t>Counts are calculated from the classifications recorded in the 169-case manual-review workbook. Failure categories are overlapping rollups from the recorded Failure Pattern, Finding, and Main issue fields; they are intended for prioritization and test planning, not as mutually exclusive defect counts.</w:t>
      </w:r>
    </w:p>
    <w:sectPr w:rsidR="00900DDF" w:rsidSect="00034616">
      <w:footerReference w:type="default" r:id="rId8"/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72A1BA" w14:textId="77777777" w:rsidR="00DF2216" w:rsidRDefault="00DF221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50462C4" w14:textId="77777777" w:rsidR="00DF2216" w:rsidRDefault="00DF221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6A425" w14:textId="77777777" w:rsidR="00900DDF" w:rsidRDefault="00DF2216">
    <w:pPr>
      <w:pStyle w:val="Footer"/>
      <w:jc w:val="center"/>
      <w:rPr>
        <w:rFonts w:hint="eastAsia"/>
      </w:rPr>
    </w:pPr>
    <w:r>
      <w:rPr>
        <w:color w:val="9AA6B2"/>
        <w:sz w:val="15"/>
      </w:rPr>
      <w:t>HR Email Automation • Testing &amp; Validation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F71FD1" w14:textId="77777777" w:rsidR="00DF2216" w:rsidRDefault="00DF221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99427F6" w14:textId="77777777" w:rsidR="00DF2216" w:rsidRDefault="00DF221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3399509">
    <w:abstractNumId w:val="8"/>
  </w:num>
  <w:num w:numId="2" w16cid:durableId="107628953">
    <w:abstractNumId w:val="6"/>
  </w:num>
  <w:num w:numId="3" w16cid:durableId="343217065">
    <w:abstractNumId w:val="5"/>
  </w:num>
  <w:num w:numId="4" w16cid:durableId="1480344037">
    <w:abstractNumId w:val="4"/>
  </w:num>
  <w:num w:numId="5" w16cid:durableId="341205880">
    <w:abstractNumId w:val="7"/>
  </w:num>
  <w:num w:numId="6" w16cid:durableId="782380301">
    <w:abstractNumId w:val="3"/>
  </w:num>
  <w:num w:numId="7" w16cid:durableId="1495996616">
    <w:abstractNumId w:val="2"/>
  </w:num>
  <w:num w:numId="8" w16cid:durableId="1027027031">
    <w:abstractNumId w:val="1"/>
  </w:num>
  <w:num w:numId="9" w16cid:durableId="1510289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3C6B"/>
    <w:rsid w:val="00272A21"/>
    <w:rsid w:val="0029639D"/>
    <w:rsid w:val="00326F90"/>
    <w:rsid w:val="00900DDF"/>
    <w:rsid w:val="00A37FE9"/>
    <w:rsid w:val="00AA1D8D"/>
    <w:rsid w:val="00B47730"/>
    <w:rsid w:val="00C11F87"/>
    <w:rsid w:val="00CB0664"/>
    <w:rsid w:val="00DF22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53D453C1-BB19-425A-B340-0752FE7AB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243447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795</Words>
  <Characters>4533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Rudra Hemanth</cp:lastModifiedBy>
  <cp:revision>4</cp:revision>
  <dcterms:created xsi:type="dcterms:W3CDTF">2013-12-23T23:15:00Z</dcterms:created>
  <dcterms:modified xsi:type="dcterms:W3CDTF">2026-09-26T02:11:00Z</dcterms:modified>
  <cp:category/>
</cp:coreProperties>
</file>