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rPr>
          <w:rFonts w:ascii="Calibri" w:cs="Calibri" w:eastAsia="Calibri" w:hAnsi="Calibri"/>
          <w:b/>
          <w:bCs/>
          <w:color w:val="0F172A"/>
          <w:sz w:val="32"/>
          <w:szCs w:val="32"/>
        </w:rPr>
        <w:t xml:space="preserve">DOSSIER JURÍDICO-LEGAL, REGULATORIO &amp; BIOÉTICO</w:t>
      </w:r>
    </w:p>
    <w:p>
      <w:pPr>
        <w:jc w:val="center"/>
      </w:pPr>
      <w:r>
        <w:rPr>
          <w:rFonts w:ascii="Calibri" w:cs="Calibri" w:eastAsia="Calibri" w:hAnsi="Calibri"/>
          <w:b/>
          <w:bCs/>
          <w:color w:val="059669"/>
          <w:sz w:val="20"/>
          <w:szCs w:val="20"/>
        </w:rPr>
        <w:t xml:space="preserve">DICTAMEN DE COMPLIANCE SANITARIO PARA COMITÉS DE ÉTICA EN INVESTIGACIÓN (CEI) Y AUTORIDADES REGULATORIAS</w:t>
      </w:r>
    </w:p>
    <w:p>
      <w:pPr>
        <w:jc w:val="center"/>
      </w:pPr>
      <w:r>
        <w:rPr>
          <w:rFonts w:ascii="Calibri" w:cs="Calibri" w:eastAsia="Calibri" w:hAnsi="Calibri"/>
          <w:i/>
          <w:iCs/>
          <w:color w:val="64748B"/>
          <w:sz w:val="18"/>
          <w:szCs w:val="18"/>
        </w:rPr>
        <w:t xml:space="preserve">Plataforma de Salud Digital: piediabetico.lat · Marco Jurídico: Argentina, LATAM, Brasil (LGPD), México (NOM) y Global (GDPR / HIPAA)</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Borders>
              <w:top w:val="single" w:color="CBD5E1" w:sz="4"/>
              <w:left w:val="single" w:color="CBD5E1" w:sz="4"/>
              <w:bottom w:val="single" w:color="CBD5E1" w:sz="4"/>
              <w:right w:val="single" w:color="CBD5E1" w:sz="4"/>
            </w:tcBorders>
            <w:shd w:fill="0F172A" w:val="clear"/>
            <w:tcMar>
              <w:top w:type="dxa" w:w="120"/>
              <w:left w:type="dxa" w:w="160"/>
              <w:bottom w:type="dxa" w:w="120"/>
              <w:right w:type="dxa" w:w="160"/>
            </w:tcMar>
          </w:tcPr>
          <w:p>
            <w:r>
              <w:rPr>
                <w:rFonts w:ascii="Calibri" w:cs="Calibri" w:eastAsia="Calibri" w:hAnsi="Calibri"/>
                <w:b/>
                <w:bCs/>
                <w:color w:val="FFFFFF"/>
                <w:sz w:val="20"/>
                <w:szCs w:val="20"/>
              </w:rPr>
              <w:t xml:space="preserve">Eje Regulatorio</w:t>
            </w:r>
          </w:p>
        </w:tc>
        <w:tc>
          <w:tcPr>
            <w:tcW w:type="pct" w:w="70%"/>
            <w:tcBorders>
              <w:top w:val="single" w:color="CBD5E1" w:sz="4"/>
              <w:left w:val="single" w:color="CBD5E1" w:sz="4"/>
              <w:bottom w:val="single" w:color="CBD5E1" w:sz="4"/>
              <w:right w:val="single" w:color="CBD5E1" w:sz="4"/>
            </w:tcBorders>
            <w:shd w:fill="0F172A" w:val="clear"/>
            <w:tcMar>
              <w:top w:type="dxa" w:w="120"/>
              <w:left w:type="dxa" w:w="160"/>
              <w:bottom w:type="dxa" w:w="120"/>
              <w:right w:type="dxa" w:w="160"/>
            </w:tcMar>
          </w:tcPr>
          <w:p>
            <w:r>
              <w:rPr>
                <w:rFonts w:ascii="Calibri" w:cs="Calibri" w:eastAsia="Calibri" w:hAnsi="Calibri"/>
                <w:b/>
                <w:bCs/>
                <w:color w:val="FFFFFF"/>
                <w:sz w:val="20"/>
                <w:szCs w:val="20"/>
              </w:rPr>
              <w:t xml:space="preserve">Fundamento &amp; Cumplimiento Normativo</w:t>
            </w:r>
          </w:p>
        </w:tc>
      </w:tr>
      <w:tr>
        <w:tc>
          <w:tcPr>
            <w:tcW w:type="pct" w:w="30%"/>
            <w:tcBorders>
              <w:top w:val="single" w:color="CBD5E1" w:sz="4"/>
              <w:left w:val="single" w:color="CBD5E1" w:sz="4"/>
              <w:bottom w:val="single" w:color="CBD5E1" w:sz="4"/>
              <w:right w:val="single" w:color="CBD5E1" w:sz="4"/>
            </w:tcBorders>
            <w:shd w:fill="F8FAFC" w:val="clear"/>
            <w:tcMar>
              <w:top w:type="dxa" w:w="120"/>
              <w:left w:type="dxa" w:w="160"/>
              <w:bottom w:type="dxa" w:w="120"/>
              <w:right w:type="dxa" w:w="160"/>
            </w:tcMar>
          </w:tcPr>
          <w:p>
            <w:r>
              <w:rPr>
                <w:rFonts w:ascii="Calibri" w:cs="Calibri" w:eastAsia="Calibri" w:hAnsi="Calibri"/>
                <w:b w:val="false"/>
                <w:bCs w:val="false"/>
                <w:color w:val="1E293B"/>
                <w:sz w:val="18"/>
                <w:szCs w:val="18"/>
              </w:rPr>
              <w:t xml:space="preserve">Naturaleza del Software</w:t>
            </w:r>
          </w:p>
        </w:tc>
        <w:tc>
          <w:tcPr>
            <w:tcW w:type="pct" w:w="70%"/>
            <w:tcBorders>
              <w:top w:val="single" w:color="CBD5E1" w:sz="4"/>
              <w:left w:val="single" w:color="CBD5E1" w:sz="4"/>
              <w:bottom w:val="single" w:color="CBD5E1" w:sz="4"/>
              <w:right w:val="single" w:color="CBD5E1" w:sz="4"/>
            </w:tcBorders>
            <w:shd w:fill="FFFFFF" w:val="clear"/>
            <w:tcMar>
              <w:top w:type="dxa" w:w="120"/>
              <w:left w:type="dxa" w:w="160"/>
              <w:bottom w:type="dxa" w:w="120"/>
              <w:right w:type="dxa" w:w="160"/>
            </w:tcMar>
          </w:tcPr>
          <w:p>
            <w:r>
              <w:rPr>
                <w:rFonts w:ascii="Calibri" w:cs="Calibri" w:eastAsia="Calibri" w:hAnsi="Calibri"/>
                <w:b w:val="false"/>
                <w:bCs w:val="false"/>
                <w:color w:val="1E293B"/>
                <w:sz w:val="18"/>
                <w:szCs w:val="18"/>
              </w:rPr>
              <w:t xml:space="preserve">Software as a Medical Device (SaMD) Clase IIa / Clinical Decision Support System (CDSS) No Autónomo.</w:t>
            </w:r>
          </w:p>
        </w:tc>
      </w:tr>
      <w:tr>
        <w:tc>
          <w:tcPr>
            <w:tcW w:type="pct" w:w="30%"/>
            <w:tcBorders>
              <w:top w:val="single" w:color="CBD5E1" w:sz="4"/>
              <w:left w:val="single" w:color="CBD5E1" w:sz="4"/>
              <w:bottom w:val="single" w:color="CBD5E1" w:sz="4"/>
              <w:right w:val="single" w:color="CBD5E1" w:sz="4"/>
            </w:tcBorders>
            <w:shd w:fill="F8FAFC" w:val="clear"/>
            <w:tcMar>
              <w:top w:type="dxa" w:w="120"/>
              <w:left w:type="dxa" w:w="160"/>
              <w:bottom w:type="dxa" w:w="120"/>
              <w:right w:type="dxa" w:w="160"/>
            </w:tcMar>
          </w:tcPr>
          <w:p>
            <w:r>
              <w:rPr>
                <w:rFonts w:ascii="Calibri" w:cs="Calibri" w:eastAsia="Calibri" w:hAnsi="Calibri"/>
                <w:b w:val="false"/>
                <w:bCs w:val="false"/>
                <w:color w:val="1E293B"/>
                <w:sz w:val="18"/>
                <w:szCs w:val="18"/>
              </w:rPr>
              <w:t xml:space="preserve">Principio Rector</w:t>
            </w:r>
          </w:p>
        </w:tc>
        <w:tc>
          <w:tcPr>
            <w:tcW w:type="pct" w:w="70%"/>
            <w:tcBorders>
              <w:top w:val="single" w:color="CBD5E1" w:sz="4"/>
              <w:left w:val="single" w:color="CBD5E1" w:sz="4"/>
              <w:bottom w:val="single" w:color="CBD5E1" w:sz="4"/>
              <w:right w:val="single" w:color="CBD5E1" w:sz="4"/>
            </w:tcBorders>
            <w:shd w:fill="FFFFFF" w:val="clear"/>
            <w:tcMar>
              <w:top w:type="dxa" w:w="120"/>
              <w:left w:type="dxa" w:w="160"/>
              <w:bottom w:type="dxa" w:w="120"/>
              <w:right w:type="dxa" w:w="160"/>
            </w:tcMar>
          </w:tcPr>
          <w:p>
            <w:r>
              <w:rPr>
                <w:rFonts w:ascii="Calibri" w:cs="Calibri" w:eastAsia="Calibri" w:hAnsi="Calibri"/>
                <w:b w:val="false"/>
                <w:bCs w:val="false"/>
                <w:color w:val="1E293B"/>
                <w:sz w:val="18"/>
                <w:szCs w:val="18"/>
              </w:rPr>
              <w:t xml:space="preserve">Human-in-the-Loop (Supervisión e Intervención Humana Mandatoria). No reemplaza el acto médico presencial.</w:t>
            </w:r>
          </w:p>
        </w:tc>
      </w:tr>
      <w:tr>
        <w:tc>
          <w:tcPr>
            <w:tcW w:type="pct" w:w="30%"/>
            <w:tcBorders>
              <w:top w:val="single" w:color="CBD5E1" w:sz="4"/>
              <w:left w:val="single" w:color="CBD5E1" w:sz="4"/>
              <w:bottom w:val="single" w:color="CBD5E1" w:sz="4"/>
              <w:right w:val="single" w:color="CBD5E1" w:sz="4"/>
            </w:tcBorders>
            <w:shd w:fill="F8FAFC" w:val="clear"/>
            <w:tcMar>
              <w:top w:type="dxa" w:w="120"/>
              <w:left w:type="dxa" w:w="160"/>
              <w:bottom w:type="dxa" w:w="120"/>
              <w:right w:type="dxa" w:w="160"/>
            </w:tcMar>
          </w:tcPr>
          <w:p>
            <w:r>
              <w:rPr>
                <w:rFonts w:ascii="Calibri" w:cs="Calibri" w:eastAsia="Calibri" w:hAnsi="Calibri"/>
                <w:b w:val="false"/>
                <w:bCs w:val="false"/>
                <w:color w:val="1E293B"/>
                <w:sz w:val="18"/>
                <w:szCs w:val="18"/>
              </w:rPr>
              <w:t xml:space="preserve">Protección de Datos (AR)</w:t>
            </w:r>
          </w:p>
        </w:tc>
        <w:tc>
          <w:tcPr>
            <w:tcW w:type="pct" w:w="70%"/>
            <w:tcBorders>
              <w:top w:val="single" w:color="CBD5E1" w:sz="4"/>
              <w:left w:val="single" w:color="CBD5E1" w:sz="4"/>
              <w:bottom w:val="single" w:color="CBD5E1" w:sz="4"/>
              <w:right w:val="single" w:color="CBD5E1" w:sz="4"/>
            </w:tcBorders>
            <w:shd w:fill="FFFFFF" w:val="clear"/>
            <w:tcMar>
              <w:top w:type="dxa" w:w="120"/>
              <w:left w:type="dxa" w:w="160"/>
              <w:bottom w:type="dxa" w:w="120"/>
              <w:right w:type="dxa" w:w="160"/>
            </w:tcMar>
          </w:tcPr>
          <w:p>
            <w:r>
              <w:rPr>
                <w:rFonts w:ascii="Calibri" w:cs="Calibri" w:eastAsia="Calibri" w:hAnsi="Calibri"/>
                <w:b w:val="false"/>
                <w:bCs w:val="false"/>
                <w:color w:val="1E293B"/>
                <w:sz w:val="18"/>
                <w:szCs w:val="18"/>
              </w:rPr>
              <w:t xml:space="preserve">Ley 25.326 (AAIP) - Cifrado TLS 1.3, Sanitización EXIF y Consentimiento Informado Expreso (Art. 7 y 8).</w:t>
            </w:r>
          </w:p>
        </w:tc>
      </w:tr>
      <w:tr>
        <w:tc>
          <w:tcPr>
            <w:tcW w:type="pct" w:w="30%"/>
            <w:tcBorders>
              <w:top w:val="single" w:color="CBD5E1" w:sz="4"/>
              <w:left w:val="single" w:color="CBD5E1" w:sz="4"/>
              <w:bottom w:val="single" w:color="CBD5E1" w:sz="4"/>
              <w:right w:val="single" w:color="CBD5E1" w:sz="4"/>
            </w:tcBorders>
            <w:shd w:fill="F8FAFC" w:val="clear"/>
            <w:tcMar>
              <w:top w:type="dxa" w:w="120"/>
              <w:left w:type="dxa" w:w="160"/>
              <w:bottom w:type="dxa" w:w="120"/>
              <w:right w:type="dxa" w:w="160"/>
            </w:tcMar>
          </w:tcPr>
          <w:p>
            <w:r>
              <w:rPr>
                <w:rFonts w:ascii="Calibri" w:cs="Calibri" w:eastAsia="Calibri" w:hAnsi="Calibri"/>
                <w:b w:val="false"/>
                <w:bCs w:val="false"/>
                <w:color w:val="1E293B"/>
                <w:sz w:val="18"/>
                <w:szCs w:val="18"/>
              </w:rPr>
              <w:t xml:space="preserve">Derechos del Paciente (AR)</w:t>
            </w:r>
          </w:p>
        </w:tc>
        <w:tc>
          <w:tcPr>
            <w:tcW w:type="pct" w:w="70%"/>
            <w:tcBorders>
              <w:top w:val="single" w:color="CBD5E1" w:sz="4"/>
              <w:left w:val="single" w:color="CBD5E1" w:sz="4"/>
              <w:bottom w:val="single" w:color="CBD5E1" w:sz="4"/>
              <w:right w:val="single" w:color="CBD5E1" w:sz="4"/>
            </w:tcBorders>
            <w:shd w:fill="FFFFFF" w:val="clear"/>
            <w:tcMar>
              <w:top w:type="dxa" w:w="120"/>
              <w:left w:type="dxa" w:w="160"/>
              <w:bottom w:type="dxa" w:w="120"/>
              <w:right w:type="dxa" w:w="160"/>
            </w:tcMar>
          </w:tcPr>
          <w:p>
            <w:r>
              <w:rPr>
                <w:rFonts w:ascii="Calibri" w:cs="Calibri" w:eastAsia="Calibri" w:hAnsi="Calibri"/>
                <w:b w:val="false"/>
                <w:bCs w:val="false"/>
                <w:color w:val="1E293B"/>
                <w:sz w:val="18"/>
                <w:szCs w:val="18"/>
              </w:rPr>
              <w:t xml:space="preserve">Ley 26.529 - Autonomía de la voluntad, confidencialidad médica, trazabilidad inalterable e interoperabilidad FHIR.</w:t>
            </w:r>
          </w:p>
        </w:tc>
      </w:tr>
      <w:tr>
        <w:tc>
          <w:tcPr>
            <w:tcW w:type="pct" w:w="30%"/>
            <w:tcBorders>
              <w:top w:val="single" w:color="CBD5E1" w:sz="4"/>
              <w:left w:val="single" w:color="CBD5E1" w:sz="4"/>
              <w:bottom w:val="single" w:color="CBD5E1" w:sz="4"/>
              <w:right w:val="single" w:color="CBD5E1" w:sz="4"/>
            </w:tcBorders>
            <w:shd w:fill="F8FAFC" w:val="clear"/>
            <w:tcMar>
              <w:top w:type="dxa" w:w="120"/>
              <w:left w:type="dxa" w:w="160"/>
              <w:bottom w:type="dxa" w:w="120"/>
              <w:right w:type="dxa" w:w="160"/>
            </w:tcMar>
          </w:tcPr>
          <w:p>
            <w:r>
              <w:rPr>
                <w:rFonts w:ascii="Calibri" w:cs="Calibri" w:eastAsia="Calibri" w:hAnsi="Calibri"/>
                <w:b w:val="false"/>
                <w:bCs w:val="false"/>
                <w:color w:val="1E293B"/>
                <w:sz w:val="18"/>
                <w:szCs w:val="18"/>
              </w:rPr>
              <w:t xml:space="preserve">Teleasistencia Digital (AR)</w:t>
            </w:r>
          </w:p>
        </w:tc>
        <w:tc>
          <w:tcPr>
            <w:tcW w:type="pct" w:w="70%"/>
            <w:tcBorders>
              <w:top w:val="single" w:color="CBD5E1" w:sz="4"/>
              <w:left w:val="single" w:color="CBD5E1" w:sz="4"/>
              <w:bottom w:val="single" w:color="CBD5E1" w:sz="4"/>
              <w:right w:val="single" w:color="CBD5E1" w:sz="4"/>
            </w:tcBorders>
            <w:shd w:fill="FFFFFF" w:val="clear"/>
            <w:tcMar>
              <w:top w:type="dxa" w:w="120"/>
              <w:left w:type="dxa" w:w="160"/>
              <w:bottom w:type="dxa" w:w="120"/>
              <w:right w:type="dxa" w:w="160"/>
            </w:tcMar>
          </w:tcPr>
          <w:p>
            <w:r>
              <w:rPr>
                <w:rFonts w:ascii="Calibri" w:cs="Calibri" w:eastAsia="Calibri" w:hAnsi="Calibri"/>
                <w:b w:val="false"/>
                <w:bCs w:val="false"/>
                <w:color w:val="1E293B"/>
                <w:sz w:val="18"/>
                <w:szCs w:val="18"/>
              </w:rPr>
              <w:t xml:space="preserve">Ley 27.706 - Ejercicio de profesiones de salud por telemedicina y validación de matrícula profesional habilitante.</w:t>
            </w:r>
          </w:p>
        </w:tc>
      </w:tr>
      <w:tr>
        <w:tc>
          <w:tcPr>
            <w:tcW w:type="pct" w:w="30%"/>
            <w:tcBorders>
              <w:top w:val="single" w:color="CBD5E1" w:sz="4"/>
              <w:left w:val="single" w:color="CBD5E1" w:sz="4"/>
              <w:bottom w:val="single" w:color="CBD5E1" w:sz="4"/>
              <w:right w:val="single" w:color="CBD5E1" w:sz="4"/>
            </w:tcBorders>
            <w:shd w:fill="F8FAFC" w:val="clear"/>
            <w:tcMar>
              <w:top w:type="dxa" w:w="120"/>
              <w:left w:type="dxa" w:w="160"/>
              <w:bottom w:type="dxa" w:w="120"/>
              <w:right w:type="dxa" w:w="160"/>
            </w:tcMar>
          </w:tcPr>
          <w:p>
            <w:r>
              <w:rPr>
                <w:rFonts w:ascii="Calibri" w:cs="Calibri" w:eastAsia="Calibri" w:hAnsi="Calibri"/>
                <w:b w:val="false"/>
                <w:bCs w:val="false"/>
                <w:color w:val="1E293B"/>
                <w:sz w:val="18"/>
                <w:szCs w:val="18"/>
              </w:rPr>
              <w:t xml:space="preserve">Estándares Internacionales</w:t>
            </w:r>
          </w:p>
        </w:tc>
        <w:tc>
          <w:tcPr>
            <w:tcW w:type="pct" w:w="70%"/>
            <w:tcBorders>
              <w:top w:val="single" w:color="CBD5E1" w:sz="4"/>
              <w:left w:val="single" w:color="CBD5E1" w:sz="4"/>
              <w:bottom w:val="single" w:color="CBD5E1" w:sz="4"/>
              <w:right w:val="single" w:color="CBD5E1" w:sz="4"/>
            </w:tcBorders>
            <w:shd w:fill="FFFFFF" w:val="clear"/>
            <w:tcMar>
              <w:top w:type="dxa" w:w="120"/>
              <w:left w:type="dxa" w:w="160"/>
              <w:bottom w:type="dxa" w:w="120"/>
              <w:right w:type="dxa" w:w="160"/>
            </w:tcMar>
          </w:tcPr>
          <w:p>
            <w:r>
              <w:rPr>
                <w:rFonts w:ascii="Calibri" w:cs="Calibri" w:eastAsia="Calibri" w:hAnsi="Calibri"/>
                <w:b w:val="false"/>
                <w:bCs w:val="false"/>
                <w:color w:val="1E293B"/>
                <w:sz w:val="18"/>
                <w:szCs w:val="18"/>
              </w:rPr>
              <w:t xml:space="preserve">LGPD Brasil (Lei 13.709), NOM-024 México, GDPR Unión Europea (Arts. 9/32), HIPAA (USA) y EU AI Act.</w:t>
            </w:r>
          </w:p>
        </w:tc>
      </w:tr>
      <w:tr>
        <w:tc>
          <w:tcPr>
            <w:tcW w:type="pct" w:w="30%"/>
            <w:tcBorders>
              <w:top w:val="single" w:color="CBD5E1" w:sz="4"/>
              <w:left w:val="single" w:color="CBD5E1" w:sz="4"/>
              <w:bottom w:val="single" w:color="CBD5E1" w:sz="4"/>
              <w:right w:val="single" w:color="CBD5E1" w:sz="4"/>
            </w:tcBorders>
            <w:shd w:fill="F8FAFC" w:val="clear"/>
            <w:tcMar>
              <w:top w:type="dxa" w:w="120"/>
              <w:left w:type="dxa" w:w="160"/>
              <w:bottom w:type="dxa" w:w="120"/>
              <w:right w:type="dxa" w:w="160"/>
            </w:tcMar>
          </w:tcPr>
          <w:p>
            <w:r>
              <w:rPr>
                <w:rFonts w:ascii="Calibri" w:cs="Calibri" w:eastAsia="Calibri" w:hAnsi="Calibri"/>
                <w:b w:val="false"/>
                <w:bCs w:val="false"/>
                <w:color w:val="1E293B"/>
                <w:sz w:val="18"/>
                <w:szCs w:val="18"/>
              </w:rPr>
              <w:t xml:space="preserve">Marco Bioético</w:t>
            </w:r>
          </w:p>
        </w:tc>
        <w:tc>
          <w:tcPr>
            <w:tcW w:type="pct" w:w="70%"/>
            <w:tcBorders>
              <w:top w:val="single" w:color="CBD5E1" w:sz="4"/>
              <w:left w:val="single" w:color="CBD5E1" w:sz="4"/>
              <w:bottom w:val="single" w:color="CBD5E1" w:sz="4"/>
              <w:right w:val="single" w:color="CBD5E1" w:sz="4"/>
            </w:tcBorders>
            <w:shd w:fill="FFFFFF" w:val="clear"/>
            <w:tcMar>
              <w:top w:type="dxa" w:w="120"/>
              <w:left w:type="dxa" w:w="160"/>
              <w:bottom w:type="dxa" w:w="120"/>
              <w:right w:type="dxa" w:w="160"/>
            </w:tcMar>
          </w:tcPr>
          <w:p>
            <w:r>
              <w:rPr>
                <w:rFonts w:ascii="Calibri" w:cs="Calibri" w:eastAsia="Calibri" w:hAnsi="Calibri"/>
                <w:b w:val="false"/>
                <w:bCs w:val="false"/>
                <w:color w:val="1E293B"/>
                <w:sz w:val="18"/>
                <w:szCs w:val="18"/>
              </w:rPr>
              <w:t xml:space="preserve">Principios de Beauchamp &amp; Childress (Beneficencia, No Maleficencia, Autonomía y Justicia Distributiva).</w:t>
            </w:r>
          </w:p>
        </w:tc>
      </w:tr>
    </w:tbl>
    <w:p/>
    <w:p>
      <w:pPr>
        <w:pStyle w:val="Heading1"/>
      </w:pPr>
      <w:r>
        <w:rPr>
          <w:b/>
          <w:bCs/>
          <w:color w:val="0F172A"/>
          <w:sz w:val="24"/>
          <w:szCs w:val="24"/>
        </w:rPr>
        <w:t xml:space="preserve">1. CALIFICACIÓN JURÍDICA &amp; PRINCIPIO 'HUMAN-IN-THE-LOOP'</w:t>
      </w:r>
    </w:p>
    <w:p>
      <w:r>
        <w:rPr>
          <w:sz w:val="20"/>
          <w:szCs w:val="20"/>
        </w:rPr>
        <w:t xml:space="preserve">La plataforma digital piediabetico.lat califica regulatoriamente como un Sistema de Soporte a la Toma de Decisiones Clínicas (CDSS) y Software como Producto Médico (SaMD) Clase IIa conforme a las directrices del International Medical Device Regulators Forum (IMDRF) y la ANMAT. El sistema está estrictamente diseñado bajo el paradigma 'Human-in-the-Loop' (Intervención Humana Mandatoria):</w:t>
      </w:r>
    </w:p>
    <w:p>
      <w:pPr>
        <w:pStyle w:val="ListParagraph"/>
        <w:numPr>
          <w:ilvl w:val="0"/>
          <w:numId w:val="1"/>
        </w:numPr>
      </w:pPr>
      <w:r>
        <w:rPr>
          <w:b/>
          <w:bCs/>
        </w:rPr>
        <w:t xml:space="preserve">Exclusión de Autonomía Médica: </w:t>
      </w:r>
      <w:r>
        <w:t xml:space="preserve">El software NO diagnostica autónomamente ni prescribe tratamientos farmacológicos definitivos sin supervisión médica. Actúa como un triage de orientación rápida para el paciente y una herramienta computacional de apoyo para el profesional de salud matriculado.</w:t>
      </w:r>
    </w:p>
    <w:p>
      <w:pPr>
        <w:pStyle w:val="ListParagraph"/>
        <w:numPr>
          <w:ilvl w:val="0"/>
          <w:numId w:val="1"/>
        </w:numPr>
      </w:pPr>
      <w:r>
        <w:rPr>
          <w:b/>
          <w:bCs/>
        </w:rPr>
        <w:t xml:space="preserve">Deber de Derivación: </w:t>
      </w:r>
      <w:r>
        <w:t xml:space="preserve">Toda orientación resultante de la inferencia de IA incluye advertencias clínicas destacadas indicando que la herramienta no reemplaza el examen físico presencial ni la consulta médica de guardia ante signos de alarma.</w:t>
      </w:r>
    </w:p>
    <w:p/>
    <w:p>
      <w:pPr>
        <w:pStyle w:val="Heading1"/>
      </w:pPr>
      <w:r>
        <w:rPr>
          <w:b/>
          <w:bCs/>
          <w:color w:val="0F172A"/>
          <w:sz w:val="24"/>
          <w:szCs w:val="24"/>
        </w:rPr>
        <w:t xml:space="preserve">2. MARCO LEGAL ARGENTINO: ANÁLISIS ARTÍCULO POR ARTÍCULO</w:t>
      </w:r>
    </w:p>
    <w:p>
      <w:r>
        <w:rPr>
          <w:b/>
          <w:bCs/>
          <w:color w:val="0F172A"/>
          <w:sz w:val="20"/>
          <w:szCs w:val="20"/>
        </w:rPr>
        <w:t xml:space="preserve">A. Ley 25.326 de Protección de los Datos Personales (Órgano de Aplicación: AAIP):</w:t>
      </w:r>
    </w:p>
    <w:p>
      <w:pPr>
        <w:pStyle w:val="ListParagraph"/>
        <w:numPr>
          <w:ilvl w:val="0"/>
          <w:numId w:val="1"/>
        </w:numPr>
      </w:pPr>
      <w:r>
        <w:rPr>
          <w:b/>
          <w:bCs/>
        </w:rPr>
        <w:t xml:space="preserve">Art. 2, 7 y 8 (Tratamiento de Datos Sensibles de Salud): </w:t>
      </w:r>
      <w:r>
        <w:t xml:space="preserve">Las imágenes del pie y datos clínicos constituyen datos sensibles. Se exige consentimiento informado previo y expreso del titular. Los datos son tratados exclusivamente por profesionales de salud o con fines directos de teleasistencia médica.</w:t>
      </w:r>
    </w:p>
    <w:p>
      <w:pPr>
        <w:pStyle w:val="ListParagraph"/>
        <w:numPr>
          <w:ilvl w:val="0"/>
          <w:numId w:val="1"/>
        </w:numPr>
      </w:pPr>
      <w:r>
        <w:rPr>
          <w:b/>
          <w:bCs/>
        </w:rPr>
        <w:t xml:space="preserve">Art. 9 (Seguridad de los Datos &amp; Sanitización EXIF): </w:t>
      </w:r>
      <w:r>
        <w:t xml:space="preserve">Implementación de privacidad desde el diseño. La plataforma incorpora un módulo cliente en Canvas que elimina automáticamente las coordenadas satelitales GPS y metadatos de cámara antes de que la imagen sea transmitida.</w:t>
      </w:r>
    </w:p>
    <w:p>
      <w:pPr>
        <w:pStyle w:val="ListParagraph"/>
        <w:numPr>
          <w:ilvl w:val="0"/>
          <w:numId w:val="1"/>
        </w:numPr>
      </w:pPr>
      <w:r>
        <w:rPr>
          <w:b/>
          <w:bCs/>
        </w:rPr>
        <w:t xml:space="preserve">Art. 10 (Deber de Confidencialidad): </w:t>
      </w:r>
      <w:r>
        <w:t xml:space="preserve">Todos los profesionales intervinientes están sujetos al secreto médico y legal, garantizado por acuerdos de confidencialidad y canales encriptados.</w:t>
      </w:r>
    </w:p>
    <w:p>
      <w:pPr>
        <w:pStyle w:val="ListParagraph"/>
        <w:numPr>
          <w:ilvl w:val="0"/>
          <w:numId w:val="1"/>
        </w:numPr>
      </w:pPr>
      <w:r>
        <w:rPr>
          <w:b/>
          <w:bCs/>
        </w:rPr>
        <w:t xml:space="preserve">Art. 14 y 17 (Derechos de Acceso, Rectificación y Supresión): </w:t>
      </w:r>
      <w:r>
        <w:t xml:space="preserve">El paciente puede en cualquier momento consultar sus evoluciones o solicitar la eliminación total de sus registros fotográficos.</w:t>
      </w:r>
    </w:p>
    <w:p>
      <w:r>
        <w:rPr>
          <w:b/>
          <w:bCs/>
          <w:color w:val="0F172A"/>
          <w:sz w:val="20"/>
          <w:szCs w:val="20"/>
        </w:rPr>
        <w:t xml:space="preserve">B. Ley 26.529 de Derechos del Paciente, Historia Clínica y Consentimiento Informado:</w:t>
      </w:r>
    </w:p>
    <w:p>
      <w:pPr>
        <w:pStyle w:val="ListParagraph"/>
        <w:numPr>
          <w:ilvl w:val="0"/>
          <w:numId w:val="1"/>
        </w:numPr>
      </w:pPr>
      <w:r>
        <w:rPr>
          <w:b/>
          <w:bCs/>
        </w:rPr>
        <w:t xml:space="preserve">Art. 2 (Derechos Esenciales): </w:t>
      </w:r>
      <w:r>
        <w:t xml:space="preserve">Garantía de asistencia sin menoscabo, trato digno, intimidad y confidencialidad de la información sanitaria.</w:t>
      </w:r>
    </w:p>
    <w:p>
      <w:pPr>
        <w:pStyle w:val="ListParagraph"/>
        <w:numPr>
          <w:ilvl w:val="0"/>
          <w:numId w:val="1"/>
        </w:numPr>
      </w:pPr>
      <w:r>
        <w:rPr>
          <w:b/>
          <w:bCs/>
        </w:rPr>
        <w:t xml:space="preserve">Art. 4 a 10 (Consentimiento Informado Digital): </w:t>
      </w:r>
      <w:r>
        <w:t xml:space="preserve">Instrumentación digital explícita mediante checkbox activo y validación de contacto con código OTP de 6 dígitos.</w:t>
      </w:r>
    </w:p>
    <w:p>
      <w:pPr>
        <w:pStyle w:val="ListParagraph"/>
        <w:numPr>
          <w:ilvl w:val="0"/>
          <w:numId w:val="1"/>
        </w:numPr>
      </w:pPr>
      <w:r>
        <w:rPr>
          <w:b/>
          <w:bCs/>
        </w:rPr>
        <w:t xml:space="preserve">Art. 12 a 20 (Integridad de la Historia Clínica): </w:t>
      </w:r>
      <w:r>
        <w:t xml:space="preserve">Inalterabilidad y trazabilidad cronológica de los reportes médicos estructurados mediante el estándar HL7® FHIR® R4.</w:t>
      </w:r>
    </w:p>
    <w:p>
      <w:r>
        <w:rPr>
          <w:b/>
          <w:bCs/>
          <w:color w:val="0F172A"/>
          <w:sz w:val="20"/>
          <w:szCs w:val="20"/>
        </w:rPr>
        <w:t xml:space="preserve">C. Ley 27.706 de Salud Digital y Teleasistencia Médica:</w:t>
      </w:r>
    </w:p>
    <w:p>
      <w:pPr>
        <w:pStyle w:val="ListParagraph"/>
        <w:numPr>
          <w:ilvl w:val="0"/>
          <w:numId w:val="1"/>
        </w:numPr>
      </w:pPr>
      <w:r>
        <w:rPr>
          <w:b/>
          <w:bCs/>
        </w:rPr>
        <w:t xml:space="preserve">Validez de la Teleconsulta: </w:t>
      </w:r>
      <w:r>
        <w:t xml:space="preserve">Habilita el uso de plataformas digitales para la interacción profesional-paciente y la prescripción médica en todo el territorio nacional.</w:t>
      </w:r>
    </w:p>
    <w:p>
      <w:pPr>
        <w:pStyle w:val="ListParagraph"/>
        <w:numPr>
          <w:ilvl w:val="0"/>
          <w:numId w:val="1"/>
        </w:numPr>
      </w:pPr>
      <w:r>
        <w:rPr>
          <w:b/>
          <w:bCs/>
        </w:rPr>
        <w:t xml:space="preserve">Validación de Matrícula (MN/MP): </w:t>
      </w:r>
      <w:r>
        <w:t xml:space="preserve">Exige que los profesionales que operan la Estación Clínica cuenten con matrícula habilitante verificada ante las autoridades sanitarias competentes.</w:t>
      </w:r>
    </w:p>
    <w:p/>
    <w:p>
      <w:pPr>
        <w:pStyle w:val="Heading1"/>
      </w:pPr>
      <w:r>
        <w:rPr>
          <w:b/>
          <w:bCs/>
          <w:color w:val="0F172A"/>
          <w:sz w:val="24"/>
          <w:szCs w:val="24"/>
        </w:rPr>
        <w:t xml:space="preserve">3. CUMPLIMIENTO NORMATIVO INTERNACIONAL (LATAM, BRASIL, MÉXICO, UE, USA)</w:t>
      </w:r>
    </w:p>
    <w:p>
      <w:pPr>
        <w:pStyle w:val="ListParagraph"/>
        <w:numPr>
          <w:ilvl w:val="0"/>
          <w:numId w:val="1"/>
        </w:numPr>
      </w:pPr>
      <w:r>
        <w:rPr>
          <w:b/>
          <w:bCs/>
        </w:rPr>
        <w:t xml:space="preserve">Brasil (LGPD - Lei 13.709/2018): </w:t>
      </w:r>
      <w:r>
        <w:t xml:space="preserve">Cumple con el Art. 11 sobre tratamiento de datos sensibles de salud bajo la base legal de tutela de la salud por profesionales acreditados y consentimiento específico.</w:t>
      </w:r>
    </w:p>
    <w:p>
      <w:pPr>
        <w:pStyle w:val="ListParagraph"/>
        <w:numPr>
          <w:ilvl w:val="0"/>
          <w:numId w:val="1"/>
        </w:numPr>
      </w:pPr>
      <w:r>
        <w:rPr>
          <w:b/>
          <w:bCs/>
        </w:rPr>
        <w:t xml:space="preserve">México (NOM-024-SSA3-2012 &amp; LFPDPPP): </w:t>
      </w:r>
      <w:r>
        <w:t xml:space="preserve">Cumplimiento de los criterios de interoperabilidad y seguridad en sistemas de registro electrónico de salud, y resguardo de la privacidad ante el INAI.</w:t>
      </w:r>
    </w:p>
    <w:p>
      <w:pPr>
        <w:pStyle w:val="ListParagraph"/>
        <w:numPr>
          <w:ilvl w:val="0"/>
          <w:numId w:val="1"/>
        </w:numPr>
      </w:pPr>
      <w:r>
        <w:rPr>
          <w:b/>
          <w:bCs/>
        </w:rPr>
        <w:t xml:space="preserve">Unión Europea (RGPD / GDPR &amp; EU AI Act): </w:t>
      </w:r>
      <w:r>
        <w:t xml:space="preserve">Conformidad con los Arts. 9 y 32 del RGPD sobre datos biomédicos. Explicabilidad algorítmica mediante mapas de calor Grad-CAM conforme al Reglamento de Inteligencia Artificial de la UE para modelos de alto riesgo en salud.</w:t>
      </w:r>
    </w:p>
    <w:p>
      <w:pPr>
        <w:pStyle w:val="ListParagraph"/>
        <w:numPr>
          <w:ilvl w:val="0"/>
          <w:numId w:val="1"/>
        </w:numPr>
      </w:pPr>
      <w:r>
        <w:rPr>
          <w:b/>
          <w:bCs/>
        </w:rPr>
        <w:t xml:space="preserve">Estados Unidos (HIPAA Privacy &amp; Security Rules): </w:t>
      </w:r>
      <w:r>
        <w:t xml:space="preserve">Protección rigurosa de Protected Health Information (PHI) con aislamiento de base de datos y control de acceso basado en roles (RBAC).</w:t>
      </w:r>
    </w:p>
    <w:p/>
    <w:p>
      <w:pPr>
        <w:pStyle w:val="Heading1"/>
      </w:pPr>
      <w:r>
        <w:rPr>
          <w:b/>
          <w:bCs/>
          <w:color w:val="0F172A"/>
          <w:sz w:val="24"/>
          <w:szCs w:val="24"/>
        </w:rPr>
        <w:t xml:space="preserve">4. EVALUACIÓN BIOÉTICA (PRINCIPIOS DE BEAUCHAMP &amp; CHILDRESS)</w:t>
      </w:r>
    </w:p>
    <w:p>
      <w:pPr>
        <w:pStyle w:val="ListParagraph"/>
        <w:numPr>
          <w:ilvl w:val="0"/>
          <w:numId w:val="1"/>
        </w:numPr>
      </w:pPr>
      <w:r>
        <w:rPr>
          <w:b/>
          <w:bCs/>
        </w:rPr>
        <w:t xml:space="preserve">1. Principio de Beneficencia: </w:t>
      </w:r>
      <w:r>
        <w:t xml:space="preserve">El sistema persigue un beneficio clínico directo: reducir el retraso diagnóstico en pacientes con diabetes de semanas a 30 segundos. La literatura médica (IWGDF 2023) demuestra que la atención multidisciplinar temprana reduce hasta un 70% las amputaciones mayores de miembros inferiores.</w:t>
      </w:r>
    </w:p>
    <w:p>
      <w:pPr>
        <w:pStyle w:val="ListParagraph"/>
        <w:numPr>
          <w:ilvl w:val="0"/>
          <w:numId w:val="1"/>
        </w:numPr>
      </w:pPr>
      <w:r>
        <w:rPr>
          <w:b/>
          <w:bCs/>
        </w:rPr>
        <w:t xml:space="preserve">2. Principio de No Maleficencia: </w:t>
      </w:r>
      <w:r>
        <w:t xml:space="preserve">a) Filtro de seguridad anatómica contra fotos no válidas; b) Control de frecuencia (Rate Limiting de 72-96 hs) que previene la toma compulsiva de imágenes y la neurosis ansiosa en el paciente diabético; c) Protocolo de semáforo rojo que ante síntomas agudos no retiene al paciente en la web, sino que le ordena concurrir de inmediato a la guardia médica más cercana.</w:t>
      </w:r>
    </w:p>
    <w:p>
      <w:pPr>
        <w:pStyle w:val="ListParagraph"/>
        <w:numPr>
          <w:ilvl w:val="0"/>
          <w:numId w:val="1"/>
        </w:numPr>
      </w:pPr>
      <w:r>
        <w:rPr>
          <w:b/>
          <w:bCs/>
        </w:rPr>
        <w:t xml:space="preserve">3. Principio de Autonomía: </w:t>
      </w:r>
      <w:r>
        <w:t xml:space="preserve">El paciente conserva la potestad de decidir libremente la captura de la fotografía, recibe explicaciones claras en lenguaje accesible (sin tecnicismos intimidantes) y puede revocar su consentimiento y solicitar el borrado de sus datos en cualquier momento.</w:t>
      </w:r>
    </w:p>
    <w:p>
      <w:pPr>
        <w:pStyle w:val="ListParagraph"/>
        <w:numPr>
          <w:ilvl w:val="0"/>
          <w:numId w:val="1"/>
        </w:numPr>
      </w:pPr>
      <w:r>
        <w:rPr>
          <w:b/>
          <w:bCs/>
        </w:rPr>
        <w:t xml:space="preserve">4. Principio de Justicia y Equidad: </w:t>
      </w:r>
      <w:r>
        <w:t xml:space="preserve">Acceso libre y 100% gratuito a la biblioteca de 12 guías de práctica clínica internacionales y al triage fotográfico inicial, permitiendo que puestos sanitarios y centros de salud de escasos recursos en cualquier rincón de América Latina apliquen los mismos consensos terapéuticos que los grandes centros hospitalarios de referencia mundial.</w:t>
      </w:r>
    </w:p>
    <w:p/>
    <w:p>
      <w:pPr>
        <w:pStyle w:val="Heading1"/>
      </w:pPr>
      <w:r>
        <w:rPr>
          <w:b/>
          <w:bCs/>
          <w:color w:val="0F172A"/>
          <w:sz w:val="24"/>
          <w:szCs w:val="24"/>
        </w:rPr>
        <w:t xml:space="preserve">5. CONCLUSIÓN &amp; DICTAMEN DE APROBACIÓN BIOÉTICA</w:t>
      </w:r>
    </w:p>
    <w:p>
      <w:r>
        <w:rPr>
          <w:b/>
          <w:bCs/>
          <w:sz w:val="20"/>
          <w:szCs w:val="20"/>
        </w:rPr>
        <w:t xml:space="preserve">Por cuanto antecede, se concluye que la plataforma de salud digital piediabetico.lat reúne plenamente los estándares de solidez técnica, protección de datos personales, observancia bioética y encuadre normativo en materia de salud digital, resultando plenamente apta para su implementación en fases piloto, estudios observacionales y entornos asistenciales reales en la República Argentina y en los países de América Latina.</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2026-08-27T01:29:56.836Z</dcterms:created>
  <dcterms:modified xsi:type="dcterms:W3CDTF">2026-08-27T01:29:56.837Z</dcterms:modified>
</cp:coreProperties>
</file>

<file path=docProps/custom.xml><?xml version="1.0" encoding="utf-8"?>
<Properties xmlns="http://schemas.openxmlformats.org/officeDocument/2006/custom-properties" xmlns:vt="http://schemas.openxmlformats.org/officeDocument/2006/docPropsVTypes"/>
</file>