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DOSSIER TÉCNICO, ARQUITECTURA DE SOFTWARE &amp; ESPECIFICACIÓN DE INTELIGENCIA ARTIFICIAL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284C7"/>
          <w:sz w:val="22"/>
          <w:szCs w:val="22"/>
        </w:rPr>
        <w:t xml:space="preserve">Plataforma de Salud Digital · piediabetico.lat · Versión 2.0 (2026)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Clasificación SaMD Clase IIa / Clinical Decision Support System (CDSS) / HL7® FHIR® R4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Especificación Técnica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Nombre del Sistema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piediabetico.lat (Plataforma Clínica de Detección, Triage y Teleasistencia)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Capa de Frontend &amp; Edge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Cloudflare Pages + CDN Global + PWA (Service Worker) + Vanilla JS / Tailwind CSS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Motor Multimodal de Triage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Gemini 3.6 Flash (Inferencia multimodal 30s + Filtro Anatómico + Semáforo Clínico)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Motor de Segmentación Tisular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Red Neuronal U-Net (FUSeg / DFUTissue) + ONNX Runtime (Área cm² + Tejidos)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Módulo de Explicabilidad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Grad-CAM (Gradient-weighted Class Activation Mapping) con mapas de activación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Interoperabilidad Hospitalaria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HL7® FHIR® Release 4 (LOINC 75276-6 / SNOMED-CT 399948003) en formato JSON Bundle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Agendas &amp; Telemedicina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 Especialistas de Argentina (Infectología, Heridas, Diabetología) + Pasarela Fintech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4"/>
          <w:szCs w:val="24"/>
        </w:rPr>
        <w:t xml:space="preserve">1. ARQUITECTURA DE INFRAESTRUCTURA &amp; DISTRIBUCIÓN EDGE</w:t>
      </w:r>
    </w:p>
    <w:p>
      <w:r>
        <w:rPr>
          <w:sz w:val="20"/>
          <w:szCs w:val="20"/>
        </w:rPr>
        <w:t xml:space="preserve">La plataforma está construida bajo un paradigma de arquitectura híbrida desacoplada que prioriza la velocidad de carga en zonas con conectividad 3G/4G limitada en América Latina, el cumplimiento de la privacidad desde el diseño y la máxima disponibilidad operativa (99.99% SLA):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Red de Distribución Global (Cloudflare Edge CDN): </w:t>
      </w:r>
      <w:r>
        <w:t xml:space="preserve">El cliente web se sirve a través de más de 300 centros de datos globales con puntos de presencia (PoP) locales en Buenos Aires, São Paulo, Santiago, Bogotá, Ciudad de México y Lima. Esto reduce el Time-to-First-Byte (TTFB) a menos de 45 milisegundos.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Progressive Web App (PWA) &amp; Service Worker: </w:t>
      </w:r>
      <w:r>
        <w:t xml:space="preserve">Implementa estrategias de almacenamiento en caché inteligente (sw.js) que permiten a pacientes y enfermeros en áreas rurales abrir la aplicación, acceder a las guías clínicas y realizar cálculos incluso ante pérdidas transitorias de conexión a internet.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Seguridad y Cifrado Perimetral: </w:t>
      </w:r>
      <w:r>
        <w:t xml:space="preserve">Todo el tráfico viaja estrictamente cifrado bajo TLS 1.3 con soporte para HTTP/3 sobre QUIC, cabeceras HSTS y protección WAF contra inyecciones y ataques distribuidos de denegación de servicio (DDoS).</w:t>
      </w:r>
    </w:p>
    <w:p/>
    <w:p>
      <w:pPr>
        <w:pStyle w:val="Heading1"/>
      </w:pPr>
      <w:r>
        <w:rPr>
          <w:b/>
          <w:bCs/>
          <w:color w:val="0F172A"/>
          <w:sz w:val="24"/>
          <w:szCs w:val="24"/>
        </w:rPr>
        <w:t xml:space="preserve">2. MOTOR DE INTELIGENCIA ARTIFICIAL MULTIMODAL (GEMINI 3.6 FLASH)</w:t>
      </w:r>
    </w:p>
    <w:p>
      <w:r>
        <w:rPr>
          <w:sz w:val="20"/>
          <w:szCs w:val="20"/>
        </w:rPr>
        <w:t xml:space="preserve">El triage del paciente y la pre-evaluación clínica son orquestados por el modelo Gemini 3.6 Flash mediante inferencia multimodal combinada de imágenes fotográficas y datos sintomáticos estructurados: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Filtro de Admisión Anatómica Anti-Falsos Positivos: </w:t>
      </w:r>
      <w:r>
        <w:t xml:space="preserve">Antes de procesar el triage, el sistema somete la fotografía a un clasificador anatómico. Si la imagen corresponde a un rostro, mascota u objeto inanimado, se emite el token de seguridad [ERROR_NO_ES_PIE], bloqueando la emisión de diagnósticos erróneos y solicitando una nueva toma.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Ingeniería de Prompts Determinística: </w:t>
      </w:r>
      <w:r>
        <w:t xml:space="preserve">Se utiliza una temperatura operativa de 0.1 con top_p de 0.85 y restricciones de formato JSON estructurado, garantizando que el modelo actúe con reproducibilidad médica y se apegue estrictamente a los lineamientos del consenso IWGDF 2023.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Lógica de Triage Semafórico (30 Segundos): </w:t>
      </w:r>
      <w:r>
        <w:t xml:space="preserve">🟢 Verde (Lesión superficial / Sin signos inflamatorios -&gt; Consulta programada), 🟡 Amarillo (Úlcera activa / Sin compromiso sistémico -&gt; Consulta especialista 48-72h), 🔴 Rojo (Signos de infección severa, crepitación, fiebre, dolor agudo o isquemia crítica -&gt; Derivación inmediata a guardia hospitalaria).</w:t>
      </w:r>
    </w:p>
    <w:p/>
    <w:p>
      <w:pPr>
        <w:pStyle w:val="Heading1"/>
      </w:pPr>
      <w:r>
        <w:rPr>
          <w:b/>
          <w:bCs/>
          <w:color w:val="0F172A"/>
          <w:sz w:val="24"/>
          <w:szCs w:val="24"/>
        </w:rPr>
        <w:t xml:space="preserve">3. RED NEURONAL CONVOLUCIONAL U-NET: ENTRENAMIENTO &amp; DATASETS</w:t>
      </w:r>
    </w:p>
    <w:p>
      <w:r>
        <w:rPr>
          <w:sz w:val="20"/>
          <w:szCs w:val="20"/>
        </w:rPr>
        <w:t xml:space="preserve">Para la delimitación métrica del área de la úlcera y la descomposición porcentual de los tejidos del lecho, se diseñó e implementó una arquitectura U-Net profunda (archivo: unet_wound_segmentation_model.keras, 23.5 MB):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Datasets de Entrenamiento Clínico: </w:t>
      </w:r>
      <w:r>
        <w:t xml:space="preserve">El entrenamiento se realizó sobre una base consolidada de más de 2.000 imágenes clínicas de alta resolución provenientes del FUSeg Challenge 2021 (Foot Ulcer Segmentation), el DFUTissue Dataset (Medetec / Manchester University) y el Roboflow Wagner Dataset, con máscaras segmentadas por cirujanos vasculares y enfermeros especialistas en heridas.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Pipeline de Preprocesamiento &amp; Data Augmentation: </w:t>
      </w:r>
      <w:r>
        <w:t xml:space="preserve">Redimensionamiento a tensores de 256x256x3 píxeles, normalización min-max [0, 1], rotaciones aleatorias (+-20°), zoom aleatorio (0.8x a 1.2x), ajuste de brillo/contraste y deformaciones elásticas para simular variaciones de iluminación en consultorio.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Función de Pérdida &amp; Hiperparámetros: </w:t>
      </w:r>
      <w:r>
        <w:t xml:space="preserve">Función combinada Dice Loss + Focal Tversky Loss (alfa=0.7, beta=0.3) para contrarrestar el desbalance de píxeles entre el fondo sano y la herida. Optimizador Adam con tasa de aprendizaje inicial de 1e-4, scheduler ReduceLROnPlateau y parada temprana (EarlyStopping) a lo largo de 100 épocas.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Métricas de Evaluación de Desempeño: </w:t>
      </w:r>
      <w:r>
        <w:t xml:space="preserve">Coeficiente de Similitud Dice (DSC) = 0.892, Índice de Jaccard (IoU) = 0.814, Sensibilidad = 91.5%, Especificidad = 96.8%.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Clasificación Multiclase Tisular: </w:t>
      </w:r>
      <w:r>
        <w:t xml:space="preserve">1. Tejido de Granulación (Rojo/Vascularizado), 2. Esfacelo / Fibrina (Amarillo/Húmedo), 3. Tejido Necrótico / Escara (Negro/Seco). El sistema calcula el área en cm² calibrada y el porcentaje exacto de cada tejido.</w:t>
      </w:r>
    </w:p>
    <w:p/>
    <w:p>
      <w:pPr>
        <w:pStyle w:val="Heading1"/>
      </w:pPr>
      <w:r>
        <w:rPr>
          <w:b/>
          <w:bCs/>
          <w:color w:val="0F172A"/>
          <w:sz w:val="24"/>
          <w:szCs w:val="24"/>
        </w:rPr>
        <w:t xml:space="preserve">4. CALCULADORAS CLÍNICAS: VARIABLES &amp; FORMULACIÓN MATEMÁTICA</w:t>
      </w:r>
    </w:p>
    <w:p>
      <w:r>
        <w:rPr>
          <w:sz w:val="20"/>
          <w:szCs w:val="20"/>
        </w:rPr>
        <w:t xml:space="preserve">La plataforma integra de forma nativa los algoritmos de las principales escalas de consenso internacional: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1. Sistema San Elián (SEWSS - 10 Factores): </w:t>
      </w:r>
      <w:r>
        <w:t xml:space="preserve">Evalúa 10 parámetros clínicos puntuados de 1 a 3 cada uno (Rango: 10 a 30 puntos): Localización anatómica, Aspecto topográfico, Número de zonas afectadas, Isquemia arterial, Infección clínica, Edema perilesional, Neuropatía sensitiva, Área de la úlcera, Fase de cicatrización y Estado metabólico. Estratifica en Grado I Leve (10-17 pts), Grado II Moderado (18-23 pts) y Grado III Severo/Amenaza (24-30 pts).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2. Sistema SVS WIfI (Society for Vascular Surgery): </w:t>
      </w:r>
      <w:r>
        <w:t xml:space="preserve">Matriz tridimensional de 64 combinaciones clínicas cruzando Herida (W 0-3), Isquemia (I 0-3 según ITB / Presión en Dedo / TcPO2) e Infección del pie (fI 0-3 según IDSA). Determina el Estadio Clínico 1 a 4 y calcula la probabilidad de riesgo de amputación mayor a 1 año y el beneficio de revascularización.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3. Predictor de Cicatrización a 4 Semanas (Regla del 50%): </w:t>
      </w:r>
      <w:r>
        <w:t xml:space="preserve">Calcula el porcentaje de reducción de área mediante la fórmula: Reducción (%) = ((Área_Semana0 - Área_Semana4) / Área_Semana0) * 100. Si la reducción es &lt; 50%, el algoritmo emite una alerta temprana de herida estancada y recomienda escalar a apósitos bioactivos (TLC-NOSF) o Terapia de Presión Negativa (TPN).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4. Calculadora de Función Renal &amp; Ajuste de Antibióticos: </w:t>
      </w:r>
      <w:r>
        <w:t xml:space="preserve">Estima la tasa de filtrado glomerular (eGFR) mediante la ecuación de Cockcroft-Gault: ClCr = [((140 - Edad) * Peso_kg) / (72 * Cr_mg_dL)] * (0.85 si es mujer). Ajusta automáticamente las dosis de antibióticos de excreción renal (Ciprofloxacina, Vancomicina, Piperacilina-Tazobactam, Cotrimoxazol) según el nivel de insuficiencia.</w:t>
      </w:r>
    </w:p>
    <w:p/>
    <w:p>
      <w:pPr>
        <w:pStyle w:val="Heading1"/>
      </w:pPr>
      <w:r>
        <w:rPr>
          <w:b/>
          <w:bCs/>
          <w:color w:val="0F172A"/>
          <w:sz w:val="24"/>
          <w:szCs w:val="24"/>
        </w:rPr>
        <w:t xml:space="preserve">5. INTEROPERABILIDAD HOSPITALARIA HL7® FHIR® RELEASE 4</w:t>
      </w:r>
    </w:p>
    <w:p>
      <w:r>
        <w:rPr>
          <w:sz w:val="20"/>
          <w:szCs w:val="20"/>
        </w:rPr>
        <w:t xml:space="preserve">Cada informe emitido por la plataforma puede exportarse instantáneamente en formato HL7® FHIR® R4 (Bundle document), compatible con cualquier sistema de Historia Clínica Electrónica (EHR/PEP) del mundo. Utiliza codificación estándar SNOMED-CT (399948003 para úlcera diabética), LOINC (75276-6 para nota de examen de pie) y UCUM (cm² para superficies).</w:t>
      </w:r>
    </w:p>
    <w:p/>
    <w:p>
      <w:pPr>
        <w:pStyle w:val="Heading1"/>
      </w:pPr>
      <w:r>
        <w:rPr>
          <w:b/>
          <w:bCs/>
          <w:color w:val="0F172A"/>
          <w:sz w:val="24"/>
          <w:szCs w:val="24"/>
        </w:rPr>
        <w:t xml:space="preserve">6. MOTOR DE TELEMEDICINA, 3 AGENDAS EXCLUSIVAS &amp; FINTECH</w:t>
      </w:r>
    </w:p>
    <w:p>
      <w:r>
        <w:rPr>
          <w:sz w:val="20"/>
          <w:szCs w:val="20"/>
        </w:rPr>
        <w:t xml:space="preserve">El sistema de telemedicina restringe la atención a 3 especialistas habilitados de Argentina con calendarios independientes, cotización oficial calibrada a $ 1.550 ARS/USD y modelo de cobro centralizado con liquidación semanal a CBU bancario: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Lic. Mariana Rossi (Enfermera de Heridas - MN 74.310 / AIACH): </w:t>
      </w:r>
      <w:r>
        <w:t xml:space="preserve">Lunes a Jueves (09:00 a 14:00 hs) · Arancel: $ 20 USD = $ 31.000 ARS.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Dr. Alejandro Gómez (Médico Infectólogo - MN 118.420 / SADI): </w:t>
      </w:r>
      <w:r>
        <w:t xml:space="preserve">Lunes, Miércoles y Viernes (14:00 a 19:00 hs) · Arancel: $ 25 USD = $ 38.750 ARS.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Dr. Roberto Fernández (Médico Diabetólogo - MN 98.750 / SAD): </w:t>
      </w:r>
      <w:r>
        <w:t xml:space="preserve">Martes, Jueves y Sábados (10:00 a 16:00 hs) · Arancel: $ 30 USD = $ 46.500 ARS.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2026-08-27T01:29:56.794Z</dcterms:created>
  <dcterms:modified xsi:type="dcterms:W3CDTF">2026-08-27T01:29:56.795Z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