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AB62" w14:textId="77777777" w:rsidR="00FF4DA4" w:rsidRDefault="007909FE" w:rsidP="0077684A">
      <w:pPr>
        <w:rPr>
          <w:lang w:val="en-CA"/>
        </w:rPr>
      </w:pPr>
      <w:r>
        <w:rPr>
          <w:lang w:val="en-CA"/>
        </w:rPr>
        <w:t>Online Supplement</w:t>
      </w:r>
    </w:p>
    <w:p w14:paraId="2BE48D64" w14:textId="77777777" w:rsidR="007909FE" w:rsidRDefault="007909FE" w:rsidP="0077684A">
      <w:pPr>
        <w:rPr>
          <w:lang w:val="en-CA"/>
        </w:rPr>
      </w:pPr>
    </w:p>
    <w:p w14:paraId="351ACB60" w14:textId="77777777" w:rsidR="0078430E" w:rsidRPr="00936373" w:rsidRDefault="0078430E" w:rsidP="0078430E">
      <w:pPr>
        <w:tabs>
          <w:tab w:val="left" w:pos="252"/>
        </w:tabs>
        <w:spacing w:line="480" w:lineRule="auto"/>
        <w:rPr>
          <w:color w:val="000000" w:themeColor="text1"/>
        </w:rPr>
      </w:pPr>
      <w:r>
        <w:rPr>
          <w:lang w:val="en-CA"/>
        </w:rPr>
        <w:t xml:space="preserve">Figure S1: </w:t>
      </w:r>
      <w:r w:rsidRPr="00936373">
        <w:rPr>
          <w:color w:val="000000" w:themeColor="text1"/>
        </w:rPr>
        <w:t>Secondary criteria for asthmatic subject classification used the allergen induced shift (Methacholine [PC</w:t>
      </w:r>
      <w:r w:rsidRPr="00936373">
        <w:rPr>
          <w:color w:val="000000" w:themeColor="text1"/>
          <w:vertAlign w:val="subscript"/>
        </w:rPr>
        <w:t>20</w:t>
      </w:r>
      <w:r w:rsidRPr="00936373">
        <w:rPr>
          <w:color w:val="000000" w:themeColor="text1"/>
        </w:rPr>
        <w:t>]</w:t>
      </w:r>
      <w:r w:rsidRPr="00936373">
        <w:rPr>
          <w:color w:val="000000" w:themeColor="text1"/>
          <w:vertAlign w:val="subscript"/>
        </w:rPr>
        <w:t>pre</w:t>
      </w:r>
      <w:r w:rsidRPr="00936373">
        <w:rPr>
          <w:color w:val="000000" w:themeColor="text1"/>
        </w:rPr>
        <w:t>/[PC</w:t>
      </w:r>
      <w:r w:rsidRPr="00936373">
        <w:rPr>
          <w:color w:val="000000" w:themeColor="text1"/>
          <w:vertAlign w:val="subscript"/>
        </w:rPr>
        <w:t>20</w:t>
      </w:r>
      <w:r w:rsidRPr="00936373">
        <w:rPr>
          <w:color w:val="000000" w:themeColor="text1"/>
        </w:rPr>
        <w:t>]</w:t>
      </w:r>
      <w:r w:rsidRPr="00936373">
        <w:rPr>
          <w:color w:val="000000" w:themeColor="text1"/>
          <w:vertAlign w:val="subscript"/>
        </w:rPr>
        <w:t>post</w:t>
      </w:r>
      <w:r w:rsidRPr="00936373">
        <w:rPr>
          <w:color w:val="000000" w:themeColor="text1"/>
        </w:rPr>
        <w:t>). Subjects with a LAR between 10-15% were classified as dual responders if their allergen induced shift was greater than 2.</w:t>
      </w:r>
    </w:p>
    <w:p w14:paraId="4BE54B1C" w14:textId="702F8389" w:rsidR="00416145" w:rsidRDefault="0078430E" w:rsidP="0077684A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9D61D65" wp14:editId="70D6C36A">
            <wp:extent cx="3048000" cy="3048000"/>
            <wp:effectExtent l="0" t="0" r="0" b="0"/>
            <wp:docPr id="184383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38696" name="Picture 18438386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F22B" w14:textId="77777777" w:rsidR="0078430E" w:rsidRDefault="0078430E" w:rsidP="0077684A">
      <w:pPr>
        <w:rPr>
          <w:lang w:val="en-CA"/>
        </w:rPr>
      </w:pPr>
    </w:p>
    <w:p w14:paraId="48ECAEC4" w14:textId="580239CA" w:rsidR="007909FE" w:rsidRPr="007909FE" w:rsidRDefault="007909FE" w:rsidP="0077684A">
      <w:pPr>
        <w:rPr>
          <w:lang w:val="en-CA"/>
        </w:rPr>
      </w:pPr>
    </w:p>
    <w:sectPr w:rsidR="007909FE" w:rsidRPr="007909FE" w:rsidSect="008E2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DD1"/>
    <w:multiLevelType w:val="hybridMultilevel"/>
    <w:tmpl w:val="4A10B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4402B"/>
    <w:multiLevelType w:val="hybridMultilevel"/>
    <w:tmpl w:val="FE1C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0778">
    <w:abstractNumId w:val="1"/>
  </w:num>
  <w:num w:numId="2" w16cid:durableId="186328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9FE"/>
    <w:rsid w:val="001F569F"/>
    <w:rsid w:val="003774F8"/>
    <w:rsid w:val="00416145"/>
    <w:rsid w:val="0046113A"/>
    <w:rsid w:val="0077684A"/>
    <w:rsid w:val="0078430E"/>
    <w:rsid w:val="007909FE"/>
    <w:rsid w:val="00796F0C"/>
    <w:rsid w:val="008C5D97"/>
    <w:rsid w:val="008E23B4"/>
    <w:rsid w:val="009D3AFE"/>
    <w:rsid w:val="00A12C74"/>
    <w:rsid w:val="00AA0563"/>
    <w:rsid w:val="00C22A9A"/>
    <w:rsid w:val="00CB3B53"/>
    <w:rsid w:val="00D051C6"/>
    <w:rsid w:val="00DA7734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42D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1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09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6F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1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1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16145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16145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1614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1614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1614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1614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1614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1614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1614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Singh, Amritpal</cp:lastModifiedBy>
  <cp:revision>2</cp:revision>
  <dcterms:created xsi:type="dcterms:W3CDTF">2017-01-14T01:46:00Z</dcterms:created>
  <dcterms:modified xsi:type="dcterms:W3CDTF">2025-01-10T00:31:00Z</dcterms:modified>
</cp:coreProperties>
</file>