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E746F" w14:textId="77777777" w:rsidR="00C332F0" w:rsidRPr="003B40E6" w:rsidRDefault="00C332F0" w:rsidP="00C332F0">
      <w:pPr>
        <w:jc w:val="center"/>
        <w:rPr>
          <w:sz w:val="36"/>
          <w:szCs w:val="36"/>
        </w:rPr>
      </w:pPr>
      <w:bookmarkStart w:id="0" w:name="_Hlk218261450"/>
      <w:r>
        <w:rPr>
          <w:sz w:val="36"/>
          <w:szCs w:val="36"/>
        </w:rPr>
        <w:t>Supplementary Materials for</w:t>
      </w:r>
    </w:p>
    <w:p w14:paraId="0AE5BC31" w14:textId="77777777" w:rsidR="00C332F0" w:rsidRDefault="00C332F0" w:rsidP="00C332F0"/>
    <w:p w14:paraId="2A714C90" w14:textId="77777777" w:rsidR="00C332F0" w:rsidRPr="00FD6F76" w:rsidRDefault="00C332F0" w:rsidP="00C332F0">
      <w:pPr>
        <w:jc w:val="center"/>
        <w:rPr>
          <w:b/>
          <w:bCs/>
          <w:sz w:val="28"/>
          <w:szCs w:val="28"/>
        </w:rPr>
      </w:pPr>
      <w:r w:rsidRPr="00FD6F76">
        <w:rPr>
          <w:b/>
          <w:bCs/>
          <w:sz w:val="28"/>
          <w:szCs w:val="28"/>
        </w:rPr>
        <w:t>Decoding Functional Specialization in GPCRs through Evolution-Guided</w:t>
      </w:r>
      <w:r>
        <w:rPr>
          <w:b/>
          <w:bCs/>
          <w:sz w:val="28"/>
          <w:szCs w:val="28"/>
        </w:rPr>
        <w:t xml:space="preserve"> </w:t>
      </w:r>
      <w:r w:rsidRPr="00FD6F76">
        <w:rPr>
          <w:b/>
          <w:bCs/>
          <w:sz w:val="28"/>
          <w:szCs w:val="28"/>
        </w:rPr>
        <w:t>Residue Profiling</w:t>
      </w:r>
    </w:p>
    <w:p w14:paraId="579302F5" w14:textId="77777777" w:rsidR="00C332F0" w:rsidRPr="00141C30" w:rsidRDefault="00C332F0" w:rsidP="00C332F0"/>
    <w:p w14:paraId="3DE55841" w14:textId="77777777" w:rsidR="00C332F0" w:rsidRPr="00141C30" w:rsidRDefault="00C332F0" w:rsidP="00C332F0">
      <w:pPr>
        <w:rPr>
          <w:vertAlign w:val="superscript"/>
        </w:rPr>
      </w:pPr>
      <w:r w:rsidRPr="00141C30">
        <w:t>Berkay Selçuk</w:t>
      </w:r>
      <w:r w:rsidRPr="00141C30">
        <w:rPr>
          <w:vertAlign w:val="superscript"/>
        </w:rPr>
        <w:t>1,2</w:t>
      </w:r>
      <w:r w:rsidRPr="00141C30">
        <w:t xml:space="preserve">, </w:t>
      </w:r>
      <w:r>
        <w:t>Gunnar Schulte</w:t>
      </w:r>
      <w:r w:rsidRPr="001379F1">
        <w:rPr>
          <w:vertAlign w:val="superscript"/>
        </w:rPr>
        <w:t>3</w:t>
      </w:r>
      <w:r>
        <w:t xml:space="preserve">, </w:t>
      </w:r>
      <w:r w:rsidRPr="00141C30">
        <w:t>Igor B. Zhulin</w:t>
      </w:r>
      <w:r w:rsidRPr="00141C30">
        <w:rPr>
          <w:vertAlign w:val="superscript"/>
        </w:rPr>
        <w:t>2</w:t>
      </w:r>
      <w:r w:rsidRPr="00141C30">
        <w:t>, Ogün Adebali</w:t>
      </w:r>
      <w:r w:rsidRPr="00141C30">
        <w:rPr>
          <w:vertAlign w:val="superscript"/>
        </w:rPr>
        <w:t>1</w:t>
      </w:r>
    </w:p>
    <w:p w14:paraId="22779AFE" w14:textId="77777777" w:rsidR="00C332F0" w:rsidRPr="00141C30" w:rsidRDefault="00C332F0" w:rsidP="00C332F0">
      <w:r w:rsidRPr="00141C30">
        <w:rPr>
          <w:vertAlign w:val="superscript"/>
        </w:rPr>
        <w:t>1</w:t>
      </w:r>
      <w:r w:rsidRPr="00141C30">
        <w:t xml:space="preserve"> Molecular Biology, Genetics and Bioengineering Program, Faculty of Engineering and Natural Sciences, </w:t>
      </w:r>
      <w:proofErr w:type="spellStart"/>
      <w:r w:rsidRPr="00141C30">
        <w:t>Sabanci</w:t>
      </w:r>
      <w:proofErr w:type="spellEnd"/>
      <w:r w:rsidRPr="00141C30">
        <w:t xml:space="preserve"> University, Istanbul, Türkiye </w:t>
      </w:r>
    </w:p>
    <w:p w14:paraId="6181D2E5" w14:textId="77777777" w:rsidR="00C332F0" w:rsidRPr="00141C30" w:rsidRDefault="00C332F0" w:rsidP="00C332F0">
      <w:r w:rsidRPr="00141C30">
        <w:rPr>
          <w:vertAlign w:val="superscript"/>
        </w:rPr>
        <w:t>2</w:t>
      </w:r>
      <w:r w:rsidRPr="00141C30">
        <w:t xml:space="preserve"> Department of Microbiology and Translational Data Analytics Institute, The Ohio State University, US</w:t>
      </w:r>
      <w:r>
        <w:t>A</w:t>
      </w:r>
    </w:p>
    <w:p w14:paraId="4C84861D" w14:textId="77777777" w:rsidR="00C332F0" w:rsidRDefault="00C332F0" w:rsidP="00C332F0">
      <w:r w:rsidRPr="00262394">
        <w:rPr>
          <w:vertAlign w:val="superscript"/>
        </w:rPr>
        <w:t>3</w:t>
      </w:r>
      <w:r>
        <w:t xml:space="preserve"> Karolinska </w:t>
      </w:r>
      <w:proofErr w:type="spellStart"/>
      <w:r>
        <w:t>Institutet</w:t>
      </w:r>
      <w:proofErr w:type="spellEnd"/>
      <w:r>
        <w:t xml:space="preserve">, Department of Physiology &amp; Pharmacology, Section for Receptor Biology &amp; Signaling, </w:t>
      </w:r>
      <w:proofErr w:type="spellStart"/>
      <w:r>
        <w:t>Biomedicum</w:t>
      </w:r>
      <w:proofErr w:type="spellEnd"/>
      <w:r>
        <w:t>, S-172 65 Stockholm, Sweden</w:t>
      </w:r>
    </w:p>
    <w:p w14:paraId="1319E818" w14:textId="77777777" w:rsidR="00C332F0" w:rsidRDefault="00C332F0" w:rsidP="00C332F0"/>
    <w:p w14:paraId="63E9A739" w14:textId="77777777" w:rsidR="00C332F0" w:rsidRPr="00BC37A5" w:rsidRDefault="00C332F0" w:rsidP="00C332F0">
      <w:r w:rsidRPr="00141C30">
        <w:t xml:space="preserve">* To whom correspondence should be addressed: </w:t>
      </w:r>
      <w:hyperlink r:id="rId5">
        <w:r w:rsidRPr="00141C30">
          <w:rPr>
            <w:rStyle w:val="Hyperlink"/>
          </w:rPr>
          <w:t>oadebali@sabanciuniv.edu</w:t>
        </w:r>
      </w:hyperlink>
    </w:p>
    <w:p w14:paraId="15C132FD" w14:textId="77777777" w:rsidR="00C332F0" w:rsidRPr="00BC37A5" w:rsidRDefault="00C332F0" w:rsidP="00C332F0">
      <w:pPr>
        <w:rPr>
          <w:b/>
        </w:rPr>
      </w:pPr>
      <w:r>
        <w:rPr>
          <w:b/>
        </w:rPr>
        <w:t xml:space="preserve">The PDF file </w:t>
      </w:r>
      <w:r w:rsidRPr="00262D72">
        <w:rPr>
          <w:b/>
        </w:rPr>
        <w:t>includes:</w:t>
      </w:r>
    </w:p>
    <w:p w14:paraId="2FCDE25D" w14:textId="77777777" w:rsidR="00C332F0" w:rsidRDefault="00C332F0" w:rsidP="00C332F0">
      <w:pPr>
        <w:ind w:left="720"/>
      </w:pPr>
      <w:r>
        <w:t>Figs. S1 to S4</w:t>
      </w:r>
    </w:p>
    <w:p w14:paraId="0871C415" w14:textId="77777777" w:rsidR="00C332F0" w:rsidRPr="00BC37A5" w:rsidRDefault="00C332F0" w:rsidP="00C332F0">
      <w:pPr>
        <w:ind w:left="720"/>
      </w:pPr>
      <w:r>
        <w:t>References</w:t>
      </w:r>
    </w:p>
    <w:p w14:paraId="0F7C193F" w14:textId="77777777" w:rsidR="00C332F0" w:rsidRDefault="00C332F0" w:rsidP="00C332F0">
      <w:pPr>
        <w:pStyle w:val="Title"/>
        <w:rPr>
          <w:rFonts w:ascii="Arial" w:hAnsi="Arial" w:cs="Arial"/>
        </w:rPr>
      </w:pPr>
    </w:p>
    <w:p w14:paraId="26E14188" w14:textId="77777777" w:rsidR="00C332F0" w:rsidRDefault="00C332F0" w:rsidP="00C332F0">
      <w:pPr>
        <w:pStyle w:val="Title"/>
        <w:rPr>
          <w:rFonts w:ascii="Arial" w:hAnsi="Arial" w:cs="Arial"/>
        </w:rPr>
      </w:pPr>
    </w:p>
    <w:p w14:paraId="2A9BC85D" w14:textId="77777777" w:rsidR="00C332F0" w:rsidRDefault="00C332F0" w:rsidP="00C332F0">
      <w:pPr>
        <w:pStyle w:val="Title"/>
        <w:rPr>
          <w:rFonts w:ascii="Arial" w:hAnsi="Arial" w:cs="Arial"/>
        </w:rPr>
      </w:pPr>
    </w:p>
    <w:p w14:paraId="356255FA" w14:textId="77777777" w:rsidR="00C332F0" w:rsidRDefault="00C332F0" w:rsidP="00C332F0">
      <w:pPr>
        <w:pStyle w:val="Title"/>
        <w:rPr>
          <w:rFonts w:ascii="Arial" w:hAnsi="Arial" w:cs="Arial"/>
        </w:rPr>
      </w:pPr>
      <w:r>
        <w:rPr>
          <w:rFonts w:ascii="Arial" w:hAnsi="Arial" w:cs="Arial"/>
        </w:rPr>
        <w:br w:type="page"/>
      </w:r>
    </w:p>
    <w:p w14:paraId="18892885" w14:textId="77777777" w:rsidR="00C332F0" w:rsidRDefault="00C332F0" w:rsidP="00C332F0">
      <w:pPr>
        <w:pStyle w:val="Title"/>
        <w:rPr>
          <w:rFonts w:ascii="Arial" w:hAnsi="Arial" w:cs="Arial"/>
        </w:rPr>
      </w:pPr>
      <w:r w:rsidRPr="00890842">
        <w:rPr>
          <w:rFonts w:ascii="Arial" w:hAnsi="Arial" w:cs="Arial"/>
        </w:rPr>
        <w:lastRenderedPageBreak/>
        <w:t>Supplementary Figures</w:t>
      </w:r>
    </w:p>
    <w:p w14:paraId="60E441D8" w14:textId="77777777" w:rsidR="00C332F0" w:rsidRPr="009165B7" w:rsidRDefault="00C332F0" w:rsidP="00C332F0"/>
    <w:p w14:paraId="2FBED8E8" w14:textId="77777777" w:rsidR="00C332F0" w:rsidRPr="00890842" w:rsidRDefault="00C332F0" w:rsidP="00C332F0">
      <w:pPr>
        <w:pStyle w:val="Title"/>
        <w:rPr>
          <w:rFonts w:ascii="Arial" w:hAnsi="Arial" w:cs="Arial"/>
        </w:rPr>
      </w:pPr>
      <w:r w:rsidRPr="00890842">
        <w:rPr>
          <w:rFonts w:ascii="Arial" w:hAnsi="Arial" w:cs="Arial"/>
          <w:noProof/>
        </w:rPr>
        <w:drawing>
          <wp:inline distT="0" distB="0" distL="0" distR="0" wp14:anchorId="58305A08" wp14:editId="51FAB8FA">
            <wp:extent cx="5930900" cy="5556738"/>
            <wp:effectExtent l="0" t="0" r="0" b="6350"/>
            <wp:docPr id="40858575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85756" name="Picture 1" descr="A screenshot of a graph&#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7036"/>
                    <a:stretch>
                      <a:fillRect/>
                    </a:stretch>
                  </pic:blipFill>
                  <pic:spPr bwMode="auto">
                    <a:xfrm>
                      <a:off x="0" y="0"/>
                      <a:ext cx="5930900" cy="5556738"/>
                    </a:xfrm>
                    <a:prstGeom prst="rect">
                      <a:avLst/>
                    </a:prstGeom>
                    <a:noFill/>
                    <a:ln>
                      <a:noFill/>
                    </a:ln>
                    <a:extLst>
                      <a:ext uri="{53640926-AAD7-44D8-BBD7-CCE9431645EC}">
                        <a14:shadowObscured xmlns:a14="http://schemas.microsoft.com/office/drawing/2010/main"/>
                      </a:ext>
                    </a:extLst>
                  </pic:spPr>
                </pic:pic>
              </a:graphicData>
            </a:graphic>
          </wp:inline>
        </w:drawing>
      </w:r>
    </w:p>
    <w:p w14:paraId="4794032A" w14:textId="77777777" w:rsidR="00C332F0" w:rsidRPr="00890842" w:rsidRDefault="00C332F0" w:rsidP="00C332F0">
      <w:pPr>
        <w:rPr>
          <w:rFonts w:ascii="Arial" w:hAnsi="Arial" w:cs="Arial"/>
        </w:rPr>
      </w:pPr>
      <w:r w:rsidRPr="00890842">
        <w:rPr>
          <w:rFonts w:ascii="Arial" w:hAnsi="Arial" w:cs="Arial"/>
          <w:b/>
          <w:bCs/>
        </w:rPr>
        <w:t xml:space="preserve">Figure S1: Individual benchmarking of class A-wide evolutionary patterns against deep mutational and alanine scanning experiments. </w:t>
      </w:r>
      <w:r w:rsidRPr="00890842">
        <w:rPr>
          <w:rFonts w:ascii="Arial" w:hAnsi="Arial" w:cs="Arial"/>
        </w:rPr>
        <w:t xml:space="preserve">a. For each residue, its mutational intolerance score for B2AR (Beta-2 Adrenergic Receptor) </w:t>
      </w:r>
      <w:r w:rsidRPr="00890842">
        <w:rPr>
          <w:rFonts w:ascii="Arial" w:hAnsi="Arial" w:cs="Arial"/>
        </w:rPr>
        <w:fldChar w:fldCharType="begin"/>
      </w:r>
      <w:r w:rsidRPr="00890842">
        <w:rPr>
          <w:rFonts w:ascii="Arial" w:hAnsi="Arial" w:cs="Arial"/>
        </w:rPr>
        <w:instrText xml:space="preserve"> ADDIN EN.CITE &lt;EndNote&gt;&lt;Cite&gt;&lt;Author&gt;Jones&lt;/Author&gt;&lt;Year&gt;2020&lt;/Year&gt;&lt;RecNum&gt;31&lt;/RecNum&gt;&lt;DisplayText&gt;&lt;style face="superscript"&gt;1&lt;/style&gt;&lt;/DisplayText&gt;&lt;record&gt;&lt;rec-number&gt;31&lt;/rec-number&gt;&lt;foreign-keys&gt;&lt;key app="EN" db-id="vsszpv0srx2p07exar7x90f2e5wvvvxspaxr" timestamp="1674148044"&gt;31&lt;/key&gt;&lt;/foreign-keys&gt;&lt;ref-type name="Journal Article"&gt;17&lt;/ref-type&gt;&lt;contributors&gt;&lt;authors&gt;&lt;author&gt;Jones, Eric M.&lt;/author&gt;&lt;author&gt;Lubock, Nathan B.&lt;/author&gt;&lt;author&gt;Venkatakrishnan, Aj&lt;/author&gt;&lt;author&gt;Wang, Jeffrey&lt;/author&gt;&lt;author&gt;Tseng, Alex M.&lt;/author&gt;&lt;author&gt;Paggi, Joseph M.&lt;/author&gt;&lt;author&gt;Latorraca, Naomi R.&lt;/author&gt;&lt;author&gt;Cancilla, Daniel&lt;/author&gt;&lt;author&gt;Satyadi, Megan&lt;/author&gt;&lt;author&gt;Davis, Jessica E.&lt;/author&gt;&lt;author&gt;Babu, M. Madan&lt;/author&gt;&lt;author&gt;Dror, Ron O.&lt;/author&gt;&lt;author&gt;Kosuri, Sriram&lt;/author&gt;&lt;/authors&gt;&lt;/contributors&gt;&lt;titles&gt;&lt;title&gt;Structural and functional characterization of G protein–coupled receptors with deep mutational scanning&lt;/title&gt;&lt;secondary-title&gt;eLife&lt;/secondary-title&gt;&lt;/titles&gt;&lt;periodical&gt;&lt;full-title&gt;eLife&lt;/full-title&gt;&lt;/periodical&gt;&lt;volume&gt;9&lt;/volume&gt;&lt;dates&gt;&lt;year&gt;2020&lt;/year&gt;&lt;/dates&gt;&lt;publisher&gt;eLife Sciences Publications, Ltd&lt;/publisher&gt;&lt;isbn&gt;2050-084X&lt;/isbn&gt;&lt;urls&gt;&lt;related-urls&gt;&lt;url&gt;https://dx.doi.org/10.7554/eLife.54895&lt;/url&gt;&lt;/related-urls&gt;&lt;/urls&gt;&lt;electronic-resource-num&gt;10.7554/elife.54895&lt;/electronic-resource-num&gt;&lt;/record&gt;&lt;/Cite&gt;&lt;/EndNote&gt;</w:instrText>
      </w:r>
      <w:r w:rsidRPr="00890842">
        <w:rPr>
          <w:rFonts w:ascii="Arial" w:hAnsi="Arial" w:cs="Arial"/>
        </w:rPr>
        <w:fldChar w:fldCharType="separate"/>
      </w:r>
      <w:r w:rsidRPr="00890842">
        <w:rPr>
          <w:rFonts w:ascii="Arial" w:hAnsi="Arial" w:cs="Arial"/>
          <w:noProof/>
          <w:vertAlign w:val="superscript"/>
        </w:rPr>
        <w:t>1</w:t>
      </w:r>
      <w:r w:rsidRPr="00890842">
        <w:rPr>
          <w:rFonts w:ascii="Arial" w:hAnsi="Arial" w:cs="Arial"/>
        </w:rPr>
        <w:fldChar w:fldCharType="end"/>
      </w:r>
      <w:r w:rsidRPr="00890842">
        <w:rPr>
          <w:rFonts w:ascii="Arial" w:hAnsi="Arial" w:cs="Arial"/>
        </w:rPr>
        <w:t xml:space="preserve"> is mapped onto the class A scatter plot (Figure 2a). Colors represent decreasing mutational tolerance, ranging from grey (tolerant) through orange to red (highly intolerant). b. Similar representation for mutational sensitivity (inverse of tolerance) for MC4R (Melanocortin 4 Receptor)</w:t>
      </w:r>
      <w:r w:rsidRPr="00890842">
        <w:rPr>
          <w:rFonts w:ascii="Arial" w:hAnsi="Arial" w:cs="Arial"/>
        </w:rPr>
        <w:fldChar w:fldCharType="begin"/>
      </w:r>
      <w:r w:rsidRPr="00890842">
        <w:rPr>
          <w:rFonts w:ascii="Arial" w:hAnsi="Arial" w:cs="Arial"/>
        </w:rPr>
        <w:instrText xml:space="preserve"> ADDIN EN.CITE &lt;EndNote&gt;&lt;Cite&gt;&lt;Author&gt;Howard&lt;/Author&gt;&lt;Year&gt;2025&lt;/Year&gt;&lt;RecNum&gt;441&lt;/RecNum&gt;&lt;DisplayText&gt;&lt;style face="superscript"&gt;2&lt;/style&gt;&lt;/DisplayText&gt;&lt;record&gt;&lt;rec-number&gt;441&lt;/rec-number&gt;&lt;foreign-keys&gt;&lt;key app="EN" db-id="vsszpv0srx2p07exar7x90f2e5wvvvxspaxr" timestamp="1763149974"&gt;441&lt;/key&gt;&lt;/foreign-keys&gt;&lt;ref-type name="Unpublished Work"&gt;34&lt;/ref-type&gt;&lt;contributors&gt;&lt;authors&gt;&lt;author&gt;Howard, Conor J.&lt;/author&gt;&lt;author&gt;Abell, Nathan S.&lt;/author&gt;&lt;author&gt;Osuna, Beatriz A.&lt;/author&gt;&lt;author&gt;Jones, Eric M.&lt;/author&gt;&lt;author&gt;Chan, Leon Y.&lt;/author&gt;&lt;author&gt;Chan, Henry&lt;/author&gt;&lt;author&gt;Artis, Dean R.&lt;/author&gt;&lt;author&gt;Asfaha, Jonathan B.&lt;/author&gt;&lt;author&gt;Bloom, Joshua S.&lt;/author&gt;&lt;author&gt;Cooper, Aaron R.&lt;/author&gt;&lt;author&gt;Liao, Andrew&lt;/author&gt;&lt;author&gt;Mahdavi, Eden&lt;/author&gt;&lt;author&gt;Mohammed, Nabil&lt;/author&gt;&lt;author&gt;Su, Alan L.&lt;/author&gt;&lt;author&gt;Uribe, Giselle A.&lt;/author&gt;&lt;author&gt;Kosuri, Sriram&lt;/author&gt;&lt;author&gt;Dickel, Diane E.&lt;/author&gt;&lt;author&gt;Lubock, Nathan B.&lt;/author&gt;&lt;/authors&gt;&lt;/contributors&gt;&lt;titles&gt;&lt;title&gt;High resolution deep mutational scanning of the melanocortin-4 receptor enables target characterization for drug discovery&lt;/title&gt;&lt;/titles&gt;&lt;dates&gt;&lt;year&gt;2025&lt;/year&gt;&lt;/dates&gt;&lt;publisher&gt;eLife Sciences Publications, Ltd&lt;/publisher&gt;&lt;urls&gt;&lt;related-urls&gt;&lt;url&gt;https://dx.doi.org/10.7554/eLife.104725.2&lt;/url&gt;&lt;/related-urls&gt;&lt;/urls&gt;&lt;electronic-resource-num&gt;10.7554/elife.104725.2&lt;/electronic-resource-num&gt;&lt;/record&gt;&lt;/Cite&gt;&lt;/EndNote&gt;</w:instrText>
      </w:r>
      <w:r w:rsidRPr="00890842">
        <w:rPr>
          <w:rFonts w:ascii="Arial" w:hAnsi="Arial" w:cs="Arial"/>
        </w:rPr>
        <w:fldChar w:fldCharType="separate"/>
      </w:r>
      <w:r w:rsidRPr="00890842">
        <w:rPr>
          <w:rFonts w:ascii="Arial" w:hAnsi="Arial" w:cs="Arial"/>
          <w:noProof/>
          <w:vertAlign w:val="superscript"/>
        </w:rPr>
        <w:t>2</w:t>
      </w:r>
      <w:r w:rsidRPr="00890842">
        <w:rPr>
          <w:rFonts w:ascii="Arial" w:hAnsi="Arial" w:cs="Arial"/>
        </w:rPr>
        <w:fldChar w:fldCharType="end"/>
      </w:r>
      <w:r w:rsidRPr="00890842">
        <w:rPr>
          <w:rFonts w:ascii="Arial" w:hAnsi="Arial" w:cs="Arial"/>
        </w:rPr>
        <w:t xml:space="preserve"> with similar coloring. c. Mutational tolerance of GPR68 (Proton-sensing G-protein Coupled Receptor)</w:t>
      </w:r>
      <w:r w:rsidRPr="00890842">
        <w:rPr>
          <w:rFonts w:ascii="Arial" w:hAnsi="Arial" w:cs="Arial"/>
        </w:rPr>
        <w:fldChar w:fldCharType="begin"/>
      </w:r>
      <w:r w:rsidRPr="00890842">
        <w:rPr>
          <w:rFonts w:ascii="Arial" w:hAnsi="Arial" w:cs="Arial"/>
        </w:rPr>
        <w:instrText xml:space="preserve"> ADDIN EN.CITE &lt;EndNote&gt;&lt;Cite&gt;&lt;Author&gt;Howard&lt;/Author&gt;&lt;Year&gt;2025&lt;/Year&gt;&lt;RecNum&gt;440&lt;/RecNum&gt;&lt;DisplayText&gt;&lt;style face="superscript"&gt;3&lt;/style&gt;&lt;/DisplayText&gt;&lt;record&gt;&lt;rec-number&gt;440&lt;/rec-number&gt;&lt;foreign-keys&gt;&lt;key app="EN" db-id="vsszpv0srx2p07exar7x90f2e5wvvvxspaxr" timestamp="1763149906"&gt;440&lt;/key&gt;&lt;/foreign-keys&gt;&lt;ref-type name="Journal Article"&gt;17&lt;/ref-type&gt;&lt;contributors&gt;&lt;authors&gt;&lt;author&gt;Howard, Matthew K.&lt;/author&gt;&lt;author&gt;Hoppe, Nicholas&lt;/author&gt;&lt;author&gt;Huang, Xi-Ping&lt;/author&gt;&lt;author&gt;Mitrovic, Darko&lt;/author&gt;&lt;author&gt;Billesbølle, Christian B.&lt;/author&gt;&lt;author&gt;Macdonald, Christian B.&lt;/author&gt;&lt;author&gt;Mehrotra, Eshan&lt;/author&gt;&lt;author&gt;Rockefeller Grimes, Patrick&lt;/author&gt;&lt;author&gt;Trinidad, Donovan D.&lt;/author&gt;&lt;author&gt;Delemotte, Lucie&lt;/author&gt;&lt;author&gt;English, Justin G.&lt;/author&gt;&lt;author&gt;Coyote-Maestas, Willow&lt;/author&gt;&lt;author&gt;Manglik, Aashish&lt;/author&gt;&lt;/authors&gt;&lt;/contributors&gt;&lt;titles&gt;&lt;title&gt;Molecular basis of proton sensing by G protein-coupled receptors&lt;/title&gt;&lt;secondary-title&gt;Cell&lt;/secondary-title&gt;&lt;/titles&gt;&lt;periodical&gt;&lt;full-title&gt;Cell&lt;/full-title&gt;&lt;/periodical&gt;&lt;pages&gt;671-687.e20&lt;/pages&gt;&lt;volume&gt;188&lt;/volume&gt;&lt;number&gt;3&lt;/number&gt;&lt;keywords&gt;&lt;keyword&gt;GPCR&lt;/keyword&gt;&lt;keyword&gt;proton sensing&lt;/keyword&gt;&lt;keyword&gt;proton&lt;/keyword&gt;&lt;keyword&gt;signaling&lt;/keyword&gt;&lt;keyword&gt;structure&lt;/keyword&gt;&lt;keyword&gt;cryo-EM&lt;/keyword&gt;&lt;/keywords&gt;&lt;dates&gt;&lt;year&gt;2025&lt;/year&gt;&lt;pub-dates&gt;&lt;date&gt;2025/02/06/&lt;/date&gt;&lt;/pub-dates&gt;&lt;/dates&gt;&lt;isbn&gt;0092-8674&lt;/isbn&gt;&lt;urls&gt;&lt;related-urls&gt;&lt;url&gt;https://www.sciencedirect.com/science/article/pii/S0092867424013734&lt;/url&gt;&lt;/related-urls&gt;&lt;/urls&gt;&lt;electronic-resource-num&gt;https://doi.org/10.1016/j.cell.2024.11.036&lt;/electronic-resource-num&gt;&lt;/record&gt;&lt;/Cite&gt;&lt;/EndNote&gt;</w:instrText>
      </w:r>
      <w:r w:rsidRPr="00890842">
        <w:rPr>
          <w:rFonts w:ascii="Arial" w:hAnsi="Arial" w:cs="Arial"/>
        </w:rPr>
        <w:fldChar w:fldCharType="separate"/>
      </w:r>
      <w:r w:rsidRPr="00890842">
        <w:rPr>
          <w:rFonts w:ascii="Arial" w:hAnsi="Arial" w:cs="Arial"/>
          <w:noProof/>
          <w:vertAlign w:val="superscript"/>
        </w:rPr>
        <w:t>3</w:t>
      </w:r>
      <w:r w:rsidRPr="00890842">
        <w:rPr>
          <w:rFonts w:ascii="Arial" w:hAnsi="Arial" w:cs="Arial"/>
        </w:rPr>
        <w:fldChar w:fldCharType="end"/>
      </w:r>
      <w:r w:rsidRPr="00890842">
        <w:rPr>
          <w:rFonts w:ascii="Arial" w:hAnsi="Arial" w:cs="Arial"/>
        </w:rPr>
        <w:t xml:space="preserve"> was illustrated with similar coloring. d. Mutational tolerance calculated based on surface expression of V2R (Vasopressin 2 Receptor)</w:t>
      </w:r>
      <w:r w:rsidRPr="00890842">
        <w:rPr>
          <w:rFonts w:ascii="Arial" w:hAnsi="Arial" w:cs="Arial"/>
        </w:rPr>
        <w:fldChar w:fldCharType="begin"/>
      </w:r>
      <w:r w:rsidRPr="00890842">
        <w:rPr>
          <w:rFonts w:ascii="Arial" w:hAnsi="Arial" w:cs="Arial"/>
        </w:rPr>
        <w:instrText xml:space="preserve"> ADDIN EN.CITE &lt;EndNote&gt;&lt;Cite&gt;&lt;Author&gt;Mighell&lt;/Author&gt;&lt;Year&gt;2025&lt;/Year&gt;&lt;RecNum&gt;439&lt;/RecNum&gt;&lt;DisplayText&gt;&lt;style face="superscript"&gt;4&lt;/style&gt;&lt;/DisplayText&gt;&lt;record&gt;&lt;rec-number&gt;439&lt;/rec-number&gt;&lt;foreign-keys&gt;&lt;key app="EN" db-id="vsszpv0srx2p07exar7x90f2e5wvvvxspaxr" timestamp="1763149763"&gt;439&lt;/key&gt;&lt;/foreign-keys&gt;&lt;ref-type name="Journal Article"&gt;17&lt;/ref-type&gt;&lt;contributors&gt;&lt;authors&gt;&lt;author&gt;Mighell, Taylor L.&lt;/author&gt;&lt;author&gt;Lehner, Ben&lt;/author&gt;&lt;/authors&gt;&lt;/contributors&gt;&lt;titles&gt;&lt;title&gt;A small molecule stabilizer rescues the surface expression of nearly all missense variants in a GPCR&lt;/title&gt;&lt;secondary-title&gt;Nature Structural &amp;amp; Molecular Biology&lt;/secondary-title&gt;&lt;/titles&gt;&lt;periodical&gt;&lt;full-title&gt;Nature Structural &amp;amp; Molecular Biology&lt;/full-title&gt;&lt;/periodical&gt;&lt;dates&gt;&lt;year&gt;2025&lt;/year&gt;&lt;pub-dates&gt;&lt;date&gt;2025/09/22&lt;/date&gt;&lt;/pub-dates&gt;&lt;/dates&gt;&lt;isbn&gt;1545-9985&lt;/isbn&gt;&lt;urls&gt;&lt;related-urls&gt;&lt;url&gt;https://doi.org/10.1038/s41594-025-01659-6&lt;/url&gt;&lt;/related-urls&gt;&lt;/urls&gt;&lt;electronic-resource-num&gt;10.1038/s41594-025-01659-6&lt;/electronic-resource-num&gt;&lt;/record&gt;&lt;/Cite&gt;&lt;/EndNote&gt;</w:instrText>
      </w:r>
      <w:r w:rsidRPr="00890842">
        <w:rPr>
          <w:rFonts w:ascii="Arial" w:hAnsi="Arial" w:cs="Arial"/>
        </w:rPr>
        <w:fldChar w:fldCharType="separate"/>
      </w:r>
      <w:r w:rsidRPr="00890842">
        <w:rPr>
          <w:rFonts w:ascii="Arial" w:hAnsi="Arial" w:cs="Arial"/>
          <w:noProof/>
          <w:vertAlign w:val="superscript"/>
        </w:rPr>
        <w:t>4</w:t>
      </w:r>
      <w:r w:rsidRPr="00890842">
        <w:rPr>
          <w:rFonts w:ascii="Arial" w:hAnsi="Arial" w:cs="Arial"/>
        </w:rPr>
        <w:fldChar w:fldCharType="end"/>
      </w:r>
      <w:r w:rsidRPr="00890842">
        <w:rPr>
          <w:rFonts w:ascii="Arial" w:hAnsi="Arial" w:cs="Arial"/>
        </w:rPr>
        <w:t xml:space="preserve">. e-d. </w:t>
      </w:r>
      <w:r w:rsidRPr="00890842">
        <w:rPr>
          <w:rFonts w:ascii="Arial" w:hAnsi="Arial" w:cs="Arial"/>
        </w:rPr>
        <w:lastRenderedPageBreak/>
        <w:t>Mutational tolerance calculated based on B2AR activation against G protein and Beta-</w:t>
      </w:r>
      <w:proofErr w:type="spellStart"/>
      <w:r w:rsidRPr="00890842">
        <w:rPr>
          <w:rFonts w:ascii="Arial" w:hAnsi="Arial" w:cs="Arial"/>
        </w:rPr>
        <w:t>arrestin</w:t>
      </w:r>
      <w:proofErr w:type="spellEnd"/>
      <w:r w:rsidRPr="00890842">
        <w:rPr>
          <w:rFonts w:ascii="Arial" w:hAnsi="Arial" w:cs="Arial"/>
        </w:rPr>
        <w:t xml:space="preserve"> activity.</w:t>
      </w:r>
      <w:r w:rsidRPr="00890842">
        <w:rPr>
          <w:rFonts w:ascii="Arial" w:hAnsi="Arial" w:cs="Arial"/>
        </w:rPr>
        <w:fldChar w:fldCharType="begin"/>
      </w:r>
      <w:r w:rsidRPr="00890842">
        <w:rPr>
          <w:rFonts w:ascii="Arial" w:hAnsi="Arial" w:cs="Arial"/>
        </w:rPr>
        <w:instrText xml:space="preserve"> ADDIN EN.CITE &lt;EndNote&gt;&lt;Cite&gt;&lt;Author&gt;Mighell&lt;/Author&gt;&lt;Year&gt;2025&lt;/Year&gt;&lt;RecNum&gt;442&lt;/RecNum&gt;&lt;DisplayText&gt;&lt;style face="superscript"&gt;5&lt;/style&gt;&lt;/DisplayText&gt;&lt;record&gt;&lt;rec-number&gt;442&lt;/rec-number&gt;&lt;foreign-keys&gt;&lt;key app="EN" db-id="vsszpv0srx2p07exar7x90f2e5wvvvxspaxr" timestamp="1763150156"&gt;442&lt;/key&gt;&lt;/foreign-keys&gt;&lt;ref-type name="Unpublished Work"&gt;34&lt;/ref-type&gt;&lt;contributors&gt;&lt;authors&gt;&lt;author&gt;Mighell, Taylor L.&lt;/author&gt;&lt;author&gt;Lehner, Ben&lt;/author&gt;&lt;/authors&gt;&lt;/contributors&gt;&lt;titles&gt;&lt;title&gt;The genetic architecture of G-protein coupled receptor signaling&lt;/title&gt;&lt;/titles&gt;&lt;dates&gt;&lt;year&gt;2025&lt;/year&gt;&lt;/dates&gt;&lt;publisher&gt;Cold Spring Harbor Laboratory&lt;/publisher&gt;&lt;urls&gt;&lt;related-urls&gt;&lt;url&gt;https://dx.doi.org/10.1101/2025.05.30.656974&lt;/url&gt;&lt;/related-urls&gt;&lt;/urls&gt;&lt;electronic-resource-num&gt;10.1101/2025.05.30.656974&lt;/electronic-resource-num&gt;&lt;/record&gt;&lt;/Cite&gt;&lt;/EndNote&gt;</w:instrText>
      </w:r>
      <w:r w:rsidRPr="00890842">
        <w:rPr>
          <w:rFonts w:ascii="Arial" w:hAnsi="Arial" w:cs="Arial"/>
        </w:rPr>
        <w:fldChar w:fldCharType="separate"/>
      </w:r>
      <w:r w:rsidRPr="00890842">
        <w:rPr>
          <w:rFonts w:ascii="Arial" w:hAnsi="Arial" w:cs="Arial"/>
          <w:noProof/>
          <w:vertAlign w:val="superscript"/>
        </w:rPr>
        <w:t>5</w:t>
      </w:r>
      <w:r w:rsidRPr="00890842">
        <w:rPr>
          <w:rFonts w:ascii="Arial" w:hAnsi="Arial" w:cs="Arial"/>
        </w:rPr>
        <w:fldChar w:fldCharType="end"/>
      </w:r>
      <w:r w:rsidRPr="00890842">
        <w:rPr>
          <w:rFonts w:ascii="Arial" w:hAnsi="Arial" w:cs="Arial"/>
        </w:rPr>
        <w:t xml:space="preserve"> g-h. Increases or decreases in potency and efficacy are labeled for B2AR in response to alanine scanning</w:t>
      </w:r>
      <w:r w:rsidRPr="00890842">
        <w:rPr>
          <w:rFonts w:ascii="Arial" w:hAnsi="Arial" w:cs="Arial"/>
        </w:rPr>
        <w:fldChar w:fldCharType="begin"/>
      </w:r>
      <w:r w:rsidRPr="00890842">
        <w:rPr>
          <w:rFonts w:ascii="Arial" w:hAnsi="Arial" w:cs="Arial"/>
        </w:rPr>
        <w:instrText xml:space="preserve"> ADDIN EN.CITE &lt;EndNote&gt;&lt;Cite&gt;&lt;Author&gt;Heydenreich&lt;/Author&gt;&lt;Year&gt;2023&lt;/Year&gt;&lt;RecNum&gt;445&lt;/RecNum&gt;&lt;DisplayText&gt;&lt;style face="superscript"&gt;6&lt;/style&gt;&lt;/DisplayText&gt;&lt;record&gt;&lt;rec-number&gt;445&lt;/rec-number&gt;&lt;foreign-keys&gt;&lt;key app="EN" db-id="vsszpv0srx2p07exar7x90f2e5wvvvxspaxr" timestamp="1764532093"&gt;445&lt;/key&gt;&lt;/foreign-keys&gt;&lt;ref-type name="Journal Article"&gt;17&lt;/ref-type&gt;&lt;contributors&gt;&lt;authors&gt;&lt;author&gt;Heydenreich, Franziska M.&lt;/author&gt;&lt;author&gt;Marti-Solano, Maria&lt;/author&gt;&lt;author&gt;Sandhu, Manbir&lt;/author&gt;&lt;author&gt;Kobilka, Brian K.&lt;/author&gt;&lt;author&gt;Bouvier, Michel&lt;/author&gt;&lt;author&gt;Babu, M. Madan&lt;/author&gt;&lt;/authors&gt;&lt;/contributors&gt;&lt;titles&gt;&lt;title&gt;Molecular determinants of ligand efficacy and potency in GPCR signaling&lt;/title&gt;&lt;secondary-title&gt;Science&lt;/secondary-title&gt;&lt;/titles&gt;&lt;periodical&gt;&lt;full-title&gt;Science&lt;/full-title&gt;&lt;/periodical&gt;&lt;pages&gt;eadh1859&lt;/pages&gt;&lt;volume&gt;382&lt;/volume&gt;&lt;number&gt;6677&lt;/number&gt;&lt;dates&gt;&lt;year&gt;2023&lt;/year&gt;&lt;/dates&gt;&lt;urls&gt;&lt;related-urls&gt;&lt;url&gt;https://www.science.org/doi/abs/10.1126/science.adh1859&lt;/url&gt;&lt;/related-urls&gt;&lt;/urls&gt;&lt;electronic-resource-num&gt;doi:10.1126/science.adh1859&lt;/electronic-resource-num&gt;&lt;/record&gt;&lt;/Cite&gt;&lt;/EndNote&gt;</w:instrText>
      </w:r>
      <w:r w:rsidRPr="00890842">
        <w:rPr>
          <w:rFonts w:ascii="Arial" w:hAnsi="Arial" w:cs="Arial"/>
        </w:rPr>
        <w:fldChar w:fldCharType="separate"/>
      </w:r>
      <w:r w:rsidRPr="00890842">
        <w:rPr>
          <w:rFonts w:ascii="Arial" w:hAnsi="Arial" w:cs="Arial"/>
          <w:noProof/>
          <w:vertAlign w:val="superscript"/>
        </w:rPr>
        <w:t>6</w:t>
      </w:r>
      <w:r w:rsidRPr="00890842">
        <w:rPr>
          <w:rFonts w:ascii="Arial" w:hAnsi="Arial" w:cs="Arial"/>
        </w:rPr>
        <w:fldChar w:fldCharType="end"/>
      </w:r>
      <w:r w:rsidRPr="00890842">
        <w:rPr>
          <w:rFonts w:ascii="Arial" w:hAnsi="Arial" w:cs="Arial"/>
        </w:rPr>
        <w:t xml:space="preserve">. Alanine scanning data is not used for the main text, but added as an additional benchmarking. </w:t>
      </w:r>
      <w:proofErr w:type="spellStart"/>
      <w:r w:rsidRPr="00890842">
        <w:rPr>
          <w:rFonts w:ascii="Arial" w:hAnsi="Arial" w:cs="Arial"/>
        </w:rPr>
        <w:t>i</w:t>
      </w:r>
      <w:proofErr w:type="spellEnd"/>
      <w:r w:rsidRPr="00890842">
        <w:rPr>
          <w:rFonts w:ascii="Arial" w:hAnsi="Arial" w:cs="Arial"/>
        </w:rPr>
        <w:t xml:space="preserve">-j Actual measurements for efficacy and potency are mapped on to class A scatter plot.  </w:t>
      </w:r>
    </w:p>
    <w:p w14:paraId="144A35A8" w14:textId="77777777" w:rsidR="00C332F0" w:rsidRPr="00890842" w:rsidRDefault="00C332F0" w:rsidP="00C332F0">
      <w:pPr>
        <w:rPr>
          <w:rFonts w:ascii="Arial" w:hAnsi="Arial" w:cs="Arial"/>
        </w:rPr>
      </w:pPr>
      <w:r w:rsidRPr="00890842">
        <w:rPr>
          <w:rFonts w:ascii="Arial" w:hAnsi="Arial" w:cs="Arial"/>
          <w:noProof/>
        </w:rPr>
        <w:drawing>
          <wp:inline distT="0" distB="0" distL="0" distR="0" wp14:anchorId="1A972105" wp14:editId="32DA7A42">
            <wp:extent cx="5928360" cy="6344920"/>
            <wp:effectExtent l="0" t="0" r="0" b="0"/>
            <wp:docPr id="1350852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28360" cy="6344920"/>
                    </a:xfrm>
                    <a:prstGeom prst="rect">
                      <a:avLst/>
                    </a:prstGeom>
                    <a:noFill/>
                    <a:ln>
                      <a:noFill/>
                    </a:ln>
                  </pic:spPr>
                </pic:pic>
              </a:graphicData>
            </a:graphic>
          </wp:inline>
        </w:drawing>
      </w:r>
    </w:p>
    <w:p w14:paraId="7DF927DF" w14:textId="77777777" w:rsidR="00C332F0" w:rsidRPr="00890842" w:rsidRDefault="00C332F0" w:rsidP="00C332F0">
      <w:pPr>
        <w:rPr>
          <w:rFonts w:ascii="Arial" w:hAnsi="Arial" w:cs="Arial"/>
        </w:rPr>
      </w:pPr>
    </w:p>
    <w:p w14:paraId="5A7B9EE8" w14:textId="77777777" w:rsidR="00C332F0" w:rsidRPr="00890842" w:rsidRDefault="00C332F0" w:rsidP="00C332F0">
      <w:pPr>
        <w:rPr>
          <w:rFonts w:ascii="Arial" w:hAnsi="Arial" w:cs="Arial"/>
        </w:rPr>
      </w:pPr>
    </w:p>
    <w:p w14:paraId="538BFEB9" w14:textId="77777777" w:rsidR="00C332F0" w:rsidRPr="00890842" w:rsidRDefault="00C332F0" w:rsidP="00C332F0">
      <w:pPr>
        <w:rPr>
          <w:rFonts w:ascii="Arial" w:hAnsi="Arial" w:cs="Arial"/>
        </w:rPr>
      </w:pPr>
      <w:r w:rsidRPr="00890842">
        <w:rPr>
          <w:rFonts w:ascii="Arial" w:hAnsi="Arial" w:cs="Arial"/>
          <w:noProof/>
        </w:rPr>
        <w:lastRenderedPageBreak/>
        <w:drawing>
          <wp:inline distT="0" distB="0" distL="0" distR="0" wp14:anchorId="02910DB9" wp14:editId="11C81A39">
            <wp:extent cx="5928360" cy="6344920"/>
            <wp:effectExtent l="0" t="0" r="0" b="0"/>
            <wp:docPr id="17986113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8360" cy="6344920"/>
                    </a:xfrm>
                    <a:prstGeom prst="rect">
                      <a:avLst/>
                    </a:prstGeom>
                    <a:noFill/>
                    <a:ln>
                      <a:noFill/>
                    </a:ln>
                  </pic:spPr>
                </pic:pic>
              </a:graphicData>
            </a:graphic>
          </wp:inline>
        </w:drawing>
      </w:r>
    </w:p>
    <w:p w14:paraId="3CB7F43F" w14:textId="77777777" w:rsidR="00C332F0" w:rsidRPr="00890842" w:rsidRDefault="00C332F0" w:rsidP="00C332F0">
      <w:pPr>
        <w:rPr>
          <w:rFonts w:ascii="Arial" w:hAnsi="Arial" w:cs="Arial"/>
        </w:rPr>
      </w:pPr>
      <w:r w:rsidRPr="00890842">
        <w:rPr>
          <w:rFonts w:ascii="Arial" w:hAnsi="Arial" w:cs="Arial"/>
          <w:b/>
          <w:bCs/>
        </w:rPr>
        <w:t>Figure S2: Correlation of class A-wide evolutionary metrics with mutational tolerance and pathogenicity.</w:t>
      </w:r>
      <w:r w:rsidRPr="00890842">
        <w:rPr>
          <w:rFonts w:ascii="Arial" w:hAnsi="Arial" w:cs="Arial"/>
        </w:rPr>
        <w:t> a. Correlation summary table reporting Pearson r, p</w:t>
      </w:r>
      <w:r w:rsidRPr="00890842">
        <w:rPr>
          <w:rFonts w:ascii="Cambria Math" w:hAnsi="Cambria Math" w:cs="Cambria Math"/>
        </w:rPr>
        <w:t>‑</w:t>
      </w:r>
      <w:r w:rsidRPr="00890842">
        <w:rPr>
          <w:rFonts w:ascii="Arial" w:hAnsi="Arial" w:cs="Arial"/>
        </w:rPr>
        <w:t>values and sample sizes for relationships between class A conservation or entropy at highly conserved sites and the indicated quantitative metrics. Correlation summary table reporting Pearson r, p</w:t>
      </w:r>
      <w:r w:rsidRPr="00890842">
        <w:rPr>
          <w:rFonts w:ascii="Cambria Math" w:hAnsi="Cambria Math" w:cs="Cambria Math"/>
        </w:rPr>
        <w:t>‑</w:t>
      </w:r>
      <w:r w:rsidRPr="00890842">
        <w:rPr>
          <w:rFonts w:ascii="Arial" w:hAnsi="Arial" w:cs="Arial"/>
        </w:rPr>
        <w:t xml:space="preserve">values and sample sizes for relationships between class A conservation or entropy at highly conserved sites and the indicated quantitative metrics. b-c. Correlation of B2AR mutational tolerance with conservation and entropy. d-e. Correlation of MC4R mutational sensitivity with conservation and </w:t>
      </w:r>
      <w:r w:rsidRPr="00890842">
        <w:rPr>
          <w:rFonts w:ascii="Arial" w:hAnsi="Arial" w:cs="Arial"/>
        </w:rPr>
        <w:lastRenderedPageBreak/>
        <w:t>entropy. f-g. Correlation of GPR68 mutational tolerance at pH 5.5 with conservation and entropy. h-</w:t>
      </w:r>
      <w:proofErr w:type="spellStart"/>
      <w:r w:rsidRPr="00890842">
        <w:rPr>
          <w:rFonts w:ascii="Arial" w:hAnsi="Arial" w:cs="Arial"/>
        </w:rPr>
        <w:t>i</w:t>
      </w:r>
      <w:proofErr w:type="spellEnd"/>
      <w:r w:rsidRPr="00890842">
        <w:rPr>
          <w:rFonts w:ascii="Arial" w:hAnsi="Arial" w:cs="Arial"/>
        </w:rPr>
        <w:t>. Correlation of V2R surface</w:t>
      </w:r>
      <w:r w:rsidRPr="00890842">
        <w:rPr>
          <w:rFonts w:ascii="Cambria Math" w:hAnsi="Cambria Math" w:cs="Cambria Math"/>
        </w:rPr>
        <w:t>‑</w:t>
      </w:r>
      <w:r w:rsidRPr="00890842">
        <w:rPr>
          <w:rFonts w:ascii="Arial" w:hAnsi="Arial" w:cs="Arial"/>
        </w:rPr>
        <w:t>expression-derived mutational tolerance with conservation and entropy. j-k. Correlation of B2AR G</w:t>
      </w:r>
      <w:r w:rsidRPr="00890842">
        <w:rPr>
          <w:rFonts w:ascii="Cambria Math" w:hAnsi="Cambria Math" w:cs="Cambria Math"/>
        </w:rPr>
        <w:t>‑</w:t>
      </w:r>
      <w:r w:rsidRPr="00890842">
        <w:rPr>
          <w:rFonts w:ascii="Arial" w:hAnsi="Arial" w:cs="Arial"/>
        </w:rPr>
        <w:t>protein-based mutational tolerance with conservation and entropy. l-m. Correlation of B2AR β</w:t>
      </w:r>
      <w:r w:rsidRPr="00890842">
        <w:rPr>
          <w:rFonts w:ascii="Cambria Math" w:hAnsi="Cambria Math" w:cs="Cambria Math"/>
        </w:rPr>
        <w:t>‑</w:t>
      </w:r>
      <w:proofErr w:type="spellStart"/>
      <w:r w:rsidRPr="00890842">
        <w:rPr>
          <w:rFonts w:ascii="Arial" w:hAnsi="Arial" w:cs="Arial"/>
        </w:rPr>
        <w:t>arrestin</w:t>
      </w:r>
      <w:proofErr w:type="spellEnd"/>
      <w:r w:rsidRPr="00890842">
        <w:rPr>
          <w:rFonts w:ascii="Arial" w:hAnsi="Arial" w:cs="Arial"/>
        </w:rPr>
        <w:t xml:space="preserve">-based mutational tolerance with conservation and entropy. n-o. Correlation of a combined class A mutational tolerance score with conservation and entropy. p-q. Correlation of </w:t>
      </w:r>
      <w:proofErr w:type="spellStart"/>
      <w:r w:rsidRPr="00890842">
        <w:rPr>
          <w:rFonts w:ascii="Arial" w:hAnsi="Arial" w:cs="Arial"/>
        </w:rPr>
        <w:t>ClinVar</w:t>
      </w:r>
      <w:proofErr w:type="spellEnd"/>
      <w:r w:rsidRPr="00890842">
        <w:rPr>
          <w:rFonts w:ascii="Arial" w:hAnsi="Arial" w:cs="Arial"/>
        </w:rPr>
        <w:t xml:space="preserve"> pathogenicity scores with conservation and entropy. r-s. Correlation of B2AR agonist potency (normalized logEC50) with conservation and entropy. t-u. Correlation of B2AR agonist efficacy (normalized amplitude) with conservation and entropy.</w:t>
      </w:r>
    </w:p>
    <w:p w14:paraId="7821E415" w14:textId="77777777" w:rsidR="00C332F0" w:rsidRPr="00890842" w:rsidRDefault="00C332F0" w:rsidP="00C332F0">
      <w:pPr>
        <w:rPr>
          <w:rFonts w:ascii="Arial" w:hAnsi="Arial" w:cs="Arial"/>
        </w:rPr>
      </w:pPr>
      <w:r w:rsidRPr="00890842">
        <w:rPr>
          <w:rFonts w:ascii="Arial" w:hAnsi="Arial" w:cs="Arial"/>
          <w:noProof/>
        </w:rPr>
        <w:drawing>
          <wp:inline distT="0" distB="0" distL="0" distR="0" wp14:anchorId="44A2B009" wp14:editId="30482402">
            <wp:extent cx="5934710" cy="2021541"/>
            <wp:effectExtent l="0" t="0" r="0" b="0"/>
            <wp:docPr id="764451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21569"/>
                    <a:stretch>
                      <a:fillRect/>
                    </a:stretch>
                  </pic:blipFill>
                  <pic:spPr bwMode="auto">
                    <a:xfrm>
                      <a:off x="0" y="0"/>
                      <a:ext cx="5934710" cy="2021541"/>
                    </a:xfrm>
                    <a:prstGeom prst="rect">
                      <a:avLst/>
                    </a:prstGeom>
                    <a:noFill/>
                    <a:ln>
                      <a:noFill/>
                    </a:ln>
                    <a:extLst>
                      <a:ext uri="{53640926-AAD7-44D8-BBD7-CCE9431645EC}">
                        <a14:shadowObscured xmlns:a14="http://schemas.microsoft.com/office/drawing/2010/main"/>
                      </a:ext>
                    </a:extLst>
                  </pic:spPr>
                </pic:pic>
              </a:graphicData>
            </a:graphic>
          </wp:inline>
        </w:drawing>
      </w:r>
    </w:p>
    <w:p w14:paraId="4737F99B" w14:textId="77777777" w:rsidR="00C332F0" w:rsidRDefault="00C332F0" w:rsidP="00C332F0">
      <w:pPr>
        <w:rPr>
          <w:rFonts w:ascii="Arial" w:hAnsi="Arial" w:cs="Arial"/>
        </w:rPr>
      </w:pPr>
      <w:r w:rsidRPr="00890842">
        <w:rPr>
          <w:rFonts w:ascii="Arial" w:hAnsi="Arial" w:cs="Arial"/>
          <w:b/>
          <w:bCs/>
        </w:rPr>
        <w:t xml:space="preserve">Figure S3: Comparison of class A-wide conservation patterns against previous evolutionary studies. </w:t>
      </w:r>
      <w:r w:rsidRPr="00890842">
        <w:rPr>
          <w:rFonts w:ascii="Arial" w:hAnsi="Arial" w:cs="Arial"/>
        </w:rPr>
        <w:t xml:space="preserve">a. Comparison with global (analogous to CRs) and opsin-specific (analogous to SRs) residues identified by </w:t>
      </w:r>
      <w:proofErr w:type="spellStart"/>
      <w:r w:rsidRPr="00890842">
        <w:rPr>
          <w:rFonts w:ascii="Arial" w:hAnsi="Arial" w:cs="Arial"/>
        </w:rPr>
        <w:t>Madsubshi</w:t>
      </w:r>
      <w:proofErr w:type="spellEnd"/>
      <w:r w:rsidRPr="00890842">
        <w:rPr>
          <w:rFonts w:ascii="Arial" w:hAnsi="Arial" w:cs="Arial"/>
        </w:rPr>
        <w:t xml:space="preserve"> et al.</w:t>
      </w:r>
      <w:r>
        <w:rPr>
          <w:rFonts w:ascii="Arial" w:hAnsi="Arial" w:cs="Arial"/>
        </w:rPr>
        <w:fldChar w:fldCharType="begin">
          <w:fldData xml:space="preserve">PEVuZE5vdGU+PENpdGU+PEF1dGhvcj5NYWRhYnVzaGk8L0F1dGhvcj48WWVhcj4yMDA0PC9ZZWFy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</w:fldData>
        </w:fldChar>
      </w:r>
      <w:r>
        <w:rPr>
          <w:rFonts w:ascii="Arial" w:hAnsi="Arial" w:cs="Arial"/>
        </w:rPr>
        <w:instrText xml:space="preserve"> ADDIN EN.CITE </w:instrText>
      </w:r>
      <w:r>
        <w:rPr>
          <w:rFonts w:ascii="Arial" w:hAnsi="Arial" w:cs="Arial"/>
        </w:rPr>
        <w:fldChar w:fldCharType="begin">
          <w:fldData xml:space="preserve">PEVuZE5vdGU+PENpdGU+PEF1dGhvcj5NYWRhYnVzaGk8L0F1dGhvcj48WWVhcj4yMDA0PC9ZZWFy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</w:fldData>
        </w:fldChar>
      </w:r>
      <w:r>
        <w:rPr>
          <w:rFonts w:ascii="Arial" w:hAnsi="Arial" w:cs="Arial"/>
        </w:rPr>
        <w:instrText xml:space="preserve"> ADDIN EN.CITE.DATA </w:instrText>
      </w:r>
      <w:r>
        <w:rPr>
          <w:rFonts w:ascii="Arial" w:hAnsi="Arial" w:cs="Arial"/>
        </w:rPr>
      </w:r>
      <w:r>
        <w:rPr>
          <w:rFonts w:ascii="Arial" w:hAnsi="Arial" w:cs="Arial"/>
        </w:rPr>
        <w:fldChar w:fldCharType="end"/>
      </w:r>
      <w:r>
        <w:rPr>
          <w:rFonts w:ascii="Arial" w:hAnsi="Arial" w:cs="Arial"/>
        </w:rPr>
        <w:fldChar w:fldCharType="separate"/>
      </w:r>
      <w:r w:rsidRPr="00081FB1">
        <w:rPr>
          <w:rFonts w:ascii="Arial" w:hAnsi="Arial" w:cs="Arial"/>
          <w:noProof/>
          <w:vertAlign w:val="superscript"/>
        </w:rPr>
        <w:t>7</w:t>
      </w:r>
      <w:r>
        <w:rPr>
          <w:rFonts w:ascii="Arial" w:hAnsi="Arial" w:cs="Arial"/>
        </w:rPr>
        <w:fldChar w:fldCharType="end"/>
      </w:r>
      <w:r w:rsidRPr="00890842">
        <w:rPr>
          <w:rFonts w:ascii="Arial" w:hAnsi="Arial" w:cs="Arial"/>
        </w:rPr>
        <w:t xml:space="preserve"> Global positions are colored as light blue, opsin-specific ones are colored as purple. b. Comparison of most significant 14 residues identified as candidate ligand binding positions by using ssTEA</w:t>
      </w:r>
      <w:r>
        <w:rPr>
          <w:rFonts w:ascii="Arial" w:hAnsi="Arial" w:cs="Arial"/>
        </w:rPr>
        <w:fldChar w:fldCharType="begin"/>
      </w:r>
      <w:r>
        <w:rPr>
          <w:rFonts w:ascii="Arial" w:hAnsi="Arial" w:cs="Arial"/>
        </w:rPr>
        <w:instrText xml:space="preserve"> ADDIN EN.CITE &lt;EndNote&gt;&lt;Cite&gt;&lt;Author&gt;Sanders&lt;/Author&gt;&lt;Year&gt;2011&lt;/Year&gt;&lt;RecNum&gt;174&lt;/RecNum&gt;&lt;DisplayText&gt;&lt;style face="superscript"&gt;8&lt;/style&gt;&lt;/DisplayText&gt;&lt;record&gt;&lt;rec-number&gt;174&lt;/rec-number&gt;&lt;foreign-keys&gt;&lt;key app="EN" db-id="vsszpv0srx2p07exar7x90f2e5wvvvxspaxr" timestamp="1697053108"&gt;174&lt;/key&gt;&lt;/foreign-keys&gt;&lt;ref-type name="Journal Article"&gt;17&lt;/ref-type&gt;&lt;contributors&gt;&lt;authors&gt;&lt;author&gt;Sanders, Marijn Pa&lt;/author&gt;&lt;author&gt;Fleuren, Wilco Wm&lt;/author&gt;&lt;author&gt;Verhoeven, Stefan&lt;/author&gt;&lt;author&gt;Van Den Beld, Sven&lt;/author&gt;&lt;author&gt;Alkema, Wynand&lt;/author&gt;&lt;author&gt;De Vlieg, Jacob&lt;/author&gt;&lt;author&gt;Klomp, Jan Pg&lt;/author&gt;&lt;/authors&gt;&lt;/contributors&gt;&lt;titles&gt;&lt;title&gt;ss-TEA: Entropy based identification of receptor specific ligand binding residues from a multiple sequence alignment of class A GPCRs&lt;/title&gt;&lt;secondary-title&gt;BMC Bioinformatics&lt;/secondary-title&gt;&lt;/titles&gt;&lt;periodical&gt;&lt;full-title&gt;BMC Bioinformatics&lt;/full-title&gt;&lt;/periodical&gt;&lt;pages&gt;332&lt;/pages&gt;&lt;volume&gt;12&lt;/volume&gt;&lt;number&gt;1&lt;/number&gt;&lt;dates&gt;&lt;year&gt;2011&lt;/year&gt;&lt;/dates&gt;&lt;publisher&gt;Springer Science and Business Media LLC&lt;/publisher&gt;&lt;isbn&gt;1471-2105&lt;/isbn&gt;&lt;urls&gt;&lt;related-urls&gt;&lt;url&gt;https://dx.doi.org/10.1186/1471-2105-12-332&lt;/url&gt;&lt;/related-urls&gt;&lt;/urls&gt;&lt;electronic-resource-num&gt;10.1186/1471-2105-12-332&lt;/electronic-resource-num&gt;&lt;/record&gt;&lt;/Cite&gt;&lt;/EndNote&gt;</w:instrText>
      </w:r>
      <w:r>
        <w:rPr>
          <w:rFonts w:ascii="Arial" w:hAnsi="Arial" w:cs="Arial"/>
        </w:rPr>
        <w:fldChar w:fldCharType="separate"/>
      </w:r>
      <w:r w:rsidRPr="00081FB1">
        <w:rPr>
          <w:rFonts w:ascii="Arial" w:hAnsi="Arial" w:cs="Arial"/>
          <w:noProof/>
          <w:vertAlign w:val="superscript"/>
        </w:rPr>
        <w:t>8</w:t>
      </w:r>
      <w:r>
        <w:rPr>
          <w:rFonts w:ascii="Arial" w:hAnsi="Arial" w:cs="Arial"/>
        </w:rPr>
        <w:fldChar w:fldCharType="end"/>
      </w:r>
      <w:r w:rsidRPr="00890842">
        <w:rPr>
          <w:rFonts w:ascii="Arial" w:hAnsi="Arial" w:cs="Arial"/>
        </w:rPr>
        <w:t xml:space="preserve"> approach. Residues are shown in black color.</w:t>
      </w:r>
    </w:p>
    <w:p w14:paraId="496F9270" w14:textId="77777777" w:rsidR="00C332F0" w:rsidRDefault="00C332F0" w:rsidP="00C332F0">
      <w:pPr>
        <w:rPr>
          <w:rFonts w:ascii="Arial" w:hAnsi="Arial" w:cs="Arial"/>
        </w:rPr>
      </w:pPr>
      <w:r>
        <w:rPr>
          <w:noProof/>
        </w:rPr>
        <w:lastRenderedPageBreak/>
        <w:drawing>
          <wp:inline distT="0" distB="0" distL="0" distR="0" wp14:anchorId="5A9A394A" wp14:editId="6994C08B">
            <wp:extent cx="5943600" cy="3773805"/>
            <wp:effectExtent l="0" t="0" r="0" b="0"/>
            <wp:docPr id="174392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773805"/>
                    </a:xfrm>
                    <a:prstGeom prst="rect">
                      <a:avLst/>
                    </a:prstGeom>
                    <a:noFill/>
                    <a:ln>
                      <a:noFill/>
                    </a:ln>
                  </pic:spPr>
                </pic:pic>
              </a:graphicData>
            </a:graphic>
          </wp:inline>
        </w:drawing>
      </w:r>
    </w:p>
    <w:p w14:paraId="5851B870" w14:textId="77777777" w:rsidR="00C332F0" w:rsidRPr="00EB0CBC" w:rsidRDefault="00C332F0" w:rsidP="00C332F0">
      <w:pPr>
        <w:rPr>
          <w:rFonts w:ascii="Arial" w:hAnsi="Arial" w:cs="Arial"/>
        </w:rPr>
      </w:pPr>
      <w:r>
        <w:rPr>
          <w:rFonts w:ascii="Arial" w:hAnsi="Arial" w:cs="Arial"/>
          <w:b/>
          <w:bCs/>
        </w:rPr>
        <w:t xml:space="preserve">Figure S4: Spatial enrichment of high- and low-entropy residues at different family-wide conservation thresholds. </w:t>
      </w:r>
      <w:r w:rsidRPr="00B23634">
        <w:rPr>
          <w:rFonts w:ascii="Arial" w:hAnsi="Arial" w:cs="Arial"/>
        </w:rPr>
        <w:t xml:space="preserve">Cα atoms corresponding to residues that pass the indicated family-wide conservation threshold are shown on the </w:t>
      </w:r>
      <w:r w:rsidRPr="00963C16">
        <w:rPr>
          <w:rFonts w:ascii="Arial" w:hAnsi="Arial" w:cs="Arial"/>
        </w:rPr>
        <w:t>AlphaFold2 human Histamine H2 receptor model</w:t>
      </w:r>
      <w:r>
        <w:rPr>
          <w:rFonts w:ascii="Arial" w:hAnsi="Arial" w:cs="Arial"/>
        </w:rPr>
        <w:fldChar w:fldCharType="begin"/>
      </w:r>
      <w:r>
        <w:rPr>
          <w:rFonts w:ascii="Arial" w:hAnsi="Arial" w:cs="Arial"/>
        </w:rPr>
        <w:instrText xml:space="preserve"> ADDIN EN.CITE &lt;EndNote&gt;&lt;Cite&gt;&lt;Author&gt;Varadi&lt;/Author&gt;&lt;Year&gt;2024&lt;/Year&gt;&lt;RecNum&gt;292&lt;/RecNum&gt;&lt;DisplayText&gt;&lt;style face="superscript"&gt;9&lt;/style&gt;&lt;/DisplayText&gt;&lt;record&gt;&lt;rec-number&gt;292&lt;/rec-number&gt;&lt;foreign-keys&gt;&lt;key app="EN" db-id="vsszpv0srx2p07exar7x90f2e5wvvvxspaxr" timestamp="1731874490"&gt;292&lt;/key&gt;&lt;/foreign-keys&gt;&lt;ref-type name="Journal Article"&gt;17&lt;/ref-type&gt;&lt;contributors&gt;&lt;authors&gt;&lt;author&gt;Varadi, Mihaly&lt;/author&gt;&lt;author&gt;Bertoni, Damian&lt;/author&gt;&lt;author&gt;Magana, Paulyna&lt;/author&gt;&lt;author&gt;Paramval, Urmila&lt;/author&gt;&lt;author&gt;Pidruchna, Ivanna&lt;/author&gt;&lt;author&gt;Radhakrishnan, Malarvizhi&lt;/author&gt;&lt;author&gt;Tsenkov, Maxim&lt;/author&gt;&lt;author&gt;Nair, Sreenath&lt;/author&gt;&lt;author&gt;Mirdita, Milot&lt;/author&gt;&lt;author&gt;Yeo, Jingi&lt;/author&gt;&lt;author&gt;Kovalevskiy, Oleg&lt;/author&gt;&lt;author&gt;Tunyasuvunakool, Kathryn&lt;/author&gt;&lt;author&gt;Laydon, Agata&lt;/author&gt;&lt;author&gt;Žídek, Augustin&lt;/author&gt;&lt;author&gt;Tomlinson, Hamish&lt;/author&gt;&lt;author&gt;Hariharan, Dhavanthi&lt;/author&gt;&lt;author&gt;Abrahamson, Josh&lt;/author&gt;&lt;author&gt;Green, Tim&lt;/author&gt;&lt;author&gt;Jumper, John&lt;/author&gt;&lt;author&gt;Birney, Ewan&lt;/author&gt;&lt;author&gt;Steinegger, Martin&lt;/author&gt;&lt;author&gt;Hassabis, Demis&lt;/author&gt;&lt;author&gt;Velankar, Sameer&lt;/author&gt;&lt;/authors&gt;&lt;/contributors&gt;&lt;titles&gt;&lt;title&gt;AlphaFold Protein Structure Database in 2024: providing structure coverage for over 214 million protein sequences&lt;/title&gt;&lt;secondary-title&gt;Nucleic Acids Research&lt;/secondary-title&gt;&lt;/titles&gt;&lt;periodical&gt;&lt;full-title&gt;Nucleic Acids Research&lt;/full-title&gt;&lt;/periodical&gt;&lt;pages&gt;D368-D375&lt;/pages&gt;&lt;volume&gt;52&lt;/volume&gt;&lt;number&gt;D1&lt;/number&gt;&lt;dates&gt;&lt;year&gt;2024&lt;/year&gt;&lt;/dates&gt;&lt;publisher&gt;Oxford University Press (OUP)&lt;/publisher&gt;&lt;isbn&gt;0305-1048&lt;/isbn&gt;&lt;urls&gt;&lt;related-urls&gt;&lt;url&gt;https://dx.doi.org/10.1093/nar/gkad1011&lt;/url&gt;&lt;/related-urls&gt;&lt;/urls&gt;&lt;electronic-resource-num&gt;10.1093/nar/gkad1011&lt;/electronic-resource-num&gt;&lt;/record&gt;&lt;/Cite&gt;&lt;/EndNote&gt;</w:instrText>
      </w:r>
      <w:r>
        <w:rPr>
          <w:rFonts w:ascii="Arial" w:hAnsi="Arial" w:cs="Arial"/>
        </w:rPr>
        <w:fldChar w:fldCharType="separate"/>
      </w:r>
      <w:r w:rsidRPr="00081FB1">
        <w:rPr>
          <w:rFonts w:ascii="Arial" w:hAnsi="Arial" w:cs="Arial"/>
          <w:noProof/>
          <w:vertAlign w:val="superscript"/>
        </w:rPr>
        <w:t>9</w:t>
      </w:r>
      <w:r>
        <w:rPr>
          <w:rFonts w:ascii="Arial" w:hAnsi="Arial" w:cs="Arial"/>
        </w:rPr>
        <w:fldChar w:fldCharType="end"/>
      </w:r>
      <w:r w:rsidRPr="00B23634">
        <w:rPr>
          <w:rFonts w:ascii="Arial" w:hAnsi="Arial" w:cs="Arial"/>
        </w:rPr>
        <w:t xml:space="preserve"> at 70%, 50%, and 30%.</w:t>
      </w:r>
      <w:r>
        <w:rPr>
          <w:rFonts w:ascii="Arial" w:hAnsi="Arial" w:cs="Arial"/>
        </w:rPr>
        <w:t xml:space="preserve"> R</w:t>
      </w:r>
      <w:r w:rsidRPr="00EF1BAB">
        <w:rPr>
          <w:rFonts w:ascii="Arial" w:hAnsi="Arial" w:cs="Arial"/>
        </w:rPr>
        <w:t xml:space="preserve">esidues are colored by family-wide entropy, with high-entropy residues shown in red and low-entropy residues shown in blue. </w:t>
      </w:r>
    </w:p>
    <w:p w14:paraId="521D9427" w14:textId="77777777" w:rsidR="00C332F0" w:rsidRPr="00890842" w:rsidRDefault="00C332F0" w:rsidP="00C332F0">
      <w:pPr>
        <w:pStyle w:val="Title"/>
        <w:rPr>
          <w:rFonts w:ascii="Arial" w:hAnsi="Arial" w:cs="Arial"/>
          <w:sz w:val="40"/>
          <w:szCs w:val="40"/>
        </w:rPr>
      </w:pPr>
      <w:r w:rsidRPr="00890842">
        <w:rPr>
          <w:rFonts w:ascii="Arial" w:hAnsi="Arial" w:cs="Arial"/>
          <w:sz w:val="40"/>
          <w:szCs w:val="40"/>
        </w:rPr>
        <w:t>References</w:t>
      </w:r>
    </w:p>
    <w:p w14:paraId="53C9727C" w14:textId="77777777" w:rsidR="00C332F0" w:rsidRPr="00081FB1" w:rsidRDefault="00C332F0" w:rsidP="00C332F0">
      <w:pPr>
        <w:pStyle w:val="EndNoteBibliography"/>
        <w:spacing w:after="0"/>
        <w:ind w:left="720" w:hanging="720"/>
      </w:pPr>
      <w:r w:rsidRPr="00890842">
        <w:rPr>
          <w:rFonts w:ascii="Arial" w:hAnsi="Arial" w:cs="Arial"/>
        </w:rPr>
        <w:fldChar w:fldCharType="begin"/>
      </w:r>
      <w:r w:rsidRPr="00890842">
        <w:rPr>
          <w:rFonts w:ascii="Arial" w:hAnsi="Arial" w:cs="Arial"/>
        </w:rPr>
        <w:instrText xml:space="preserve"> ADDIN EN.REFLIST </w:instrText>
      </w:r>
      <w:r w:rsidRPr="00890842">
        <w:rPr>
          <w:rFonts w:ascii="Arial" w:hAnsi="Arial" w:cs="Arial"/>
        </w:rPr>
        <w:fldChar w:fldCharType="separate"/>
      </w:r>
      <w:r w:rsidRPr="00081FB1">
        <w:t>1</w:t>
      </w:r>
      <w:r w:rsidRPr="00081FB1">
        <w:tab/>
        <w:t>Jones, E. M.</w:t>
      </w:r>
      <w:r w:rsidRPr="00081FB1">
        <w:rPr>
          <w:i/>
        </w:rPr>
        <w:t xml:space="preserve"> et al.</w:t>
      </w:r>
      <w:r w:rsidRPr="00081FB1">
        <w:t xml:space="preserve"> Structural and functional characterization of G protein–coupled receptors with deep mutational scanning. </w:t>
      </w:r>
      <w:r w:rsidRPr="00081FB1">
        <w:rPr>
          <w:i/>
        </w:rPr>
        <w:t>eLife</w:t>
      </w:r>
      <w:r w:rsidRPr="00081FB1">
        <w:t xml:space="preserve"> </w:t>
      </w:r>
      <w:r w:rsidRPr="00081FB1">
        <w:rPr>
          <w:b/>
        </w:rPr>
        <w:t>9</w:t>
      </w:r>
      <w:r w:rsidRPr="00081FB1">
        <w:t xml:space="preserve"> (2020). </w:t>
      </w:r>
      <w:hyperlink r:id="rId11" w:history="1">
        <w:r w:rsidRPr="00081FB1">
          <w:rPr>
            <w:rStyle w:val="Hyperlink"/>
          </w:rPr>
          <w:t>https://doi.org:10.7554/elife.54895</w:t>
        </w:r>
      </w:hyperlink>
    </w:p>
    <w:p w14:paraId="7239E279" w14:textId="77777777" w:rsidR="00C332F0" w:rsidRPr="00081FB1" w:rsidRDefault="00C332F0" w:rsidP="00C332F0">
      <w:pPr>
        <w:pStyle w:val="EndNoteBibliography"/>
        <w:spacing w:after="0"/>
        <w:ind w:left="720" w:hanging="720"/>
      </w:pPr>
      <w:r w:rsidRPr="00081FB1">
        <w:t>2</w:t>
      </w:r>
      <w:r w:rsidRPr="00081FB1">
        <w:tab/>
        <w:t>Howard, C. J.</w:t>
      </w:r>
      <w:r w:rsidRPr="00081FB1">
        <w:rPr>
          <w:i/>
        </w:rPr>
        <w:t xml:space="preserve"> et al.</w:t>
      </w:r>
      <w:r w:rsidRPr="00081FB1">
        <w:t xml:space="preserve"> </w:t>
      </w:r>
      <w:r w:rsidRPr="00081FB1">
        <w:rPr>
          <w:i/>
        </w:rPr>
        <w:t>High resolution deep mutational scanning of the melanocortin-4 receptor enables target characterization for drug discovery</w:t>
      </w:r>
      <w:r w:rsidRPr="00081FB1">
        <w:t xml:space="preserve"> (eLife Sciences Publications, Ltd, 2025).</w:t>
      </w:r>
    </w:p>
    <w:p w14:paraId="31B23D96" w14:textId="77777777" w:rsidR="00C332F0" w:rsidRPr="00081FB1" w:rsidRDefault="00C332F0" w:rsidP="00C332F0">
      <w:pPr>
        <w:pStyle w:val="EndNoteBibliography"/>
        <w:spacing w:after="0"/>
        <w:ind w:left="720" w:hanging="720"/>
      </w:pPr>
      <w:r w:rsidRPr="00081FB1">
        <w:t>3</w:t>
      </w:r>
      <w:r w:rsidRPr="00081FB1">
        <w:tab/>
        <w:t>Howard, M. K.</w:t>
      </w:r>
      <w:r w:rsidRPr="00081FB1">
        <w:rPr>
          <w:i/>
        </w:rPr>
        <w:t xml:space="preserve"> et al.</w:t>
      </w:r>
      <w:r w:rsidRPr="00081FB1">
        <w:t xml:space="preserve"> Molecular basis of proton sensing by G protein-coupled receptors. </w:t>
      </w:r>
      <w:r w:rsidRPr="00081FB1">
        <w:rPr>
          <w:i/>
        </w:rPr>
        <w:t>Cell</w:t>
      </w:r>
      <w:r w:rsidRPr="00081FB1">
        <w:t xml:space="preserve"> </w:t>
      </w:r>
      <w:r w:rsidRPr="00081FB1">
        <w:rPr>
          <w:b/>
        </w:rPr>
        <w:t>188</w:t>
      </w:r>
      <w:r w:rsidRPr="00081FB1">
        <w:t xml:space="preserve">, 671-687.e620 (2025). </w:t>
      </w:r>
      <w:hyperlink r:id="rId12" w:history="1">
        <w:r w:rsidRPr="00081FB1">
          <w:rPr>
            <w:rStyle w:val="Hyperlink"/>
          </w:rPr>
          <w:t>https://doi.org:https://doi.org/10.1016/j.cell.2024.11.036</w:t>
        </w:r>
      </w:hyperlink>
    </w:p>
    <w:p w14:paraId="1DF16043" w14:textId="77777777" w:rsidR="00C332F0" w:rsidRPr="00081FB1" w:rsidRDefault="00C332F0" w:rsidP="00C332F0">
      <w:pPr>
        <w:pStyle w:val="EndNoteBibliography"/>
        <w:spacing w:after="0"/>
        <w:ind w:left="720" w:hanging="720"/>
      </w:pPr>
      <w:r w:rsidRPr="00081FB1">
        <w:t>4</w:t>
      </w:r>
      <w:r w:rsidRPr="00081FB1">
        <w:tab/>
        <w:t xml:space="preserve">Mighell, T. L. &amp; Lehner, B. A small molecule stabilizer rescues the surface expression of nearly all missense variants in a GPCR. </w:t>
      </w:r>
      <w:r w:rsidRPr="00081FB1">
        <w:rPr>
          <w:i/>
        </w:rPr>
        <w:t>Nature Structural &amp; Molecular Biology</w:t>
      </w:r>
      <w:r w:rsidRPr="00081FB1">
        <w:t xml:space="preserve"> (2025). </w:t>
      </w:r>
      <w:hyperlink r:id="rId13" w:history="1">
        <w:r w:rsidRPr="00081FB1">
          <w:rPr>
            <w:rStyle w:val="Hyperlink"/>
          </w:rPr>
          <w:t>https://doi.org:10.1038/s41594-025-01659-6</w:t>
        </w:r>
      </w:hyperlink>
    </w:p>
    <w:p w14:paraId="5006A9BB" w14:textId="77777777" w:rsidR="00C332F0" w:rsidRPr="00081FB1" w:rsidRDefault="00C332F0" w:rsidP="00C332F0">
      <w:pPr>
        <w:pStyle w:val="EndNoteBibliography"/>
        <w:spacing w:after="0"/>
        <w:ind w:left="720" w:hanging="720"/>
      </w:pPr>
      <w:r w:rsidRPr="00081FB1">
        <w:t>5</w:t>
      </w:r>
      <w:r w:rsidRPr="00081FB1">
        <w:tab/>
        <w:t xml:space="preserve">Mighell, T. L. &amp; Lehner, B. </w:t>
      </w:r>
      <w:r w:rsidRPr="00081FB1">
        <w:rPr>
          <w:i/>
        </w:rPr>
        <w:t>The genetic architecture of G-protein coupled receptor signaling</w:t>
      </w:r>
      <w:r w:rsidRPr="00081FB1">
        <w:t xml:space="preserve"> (Cold Spring Harbor Laboratory, 2025).</w:t>
      </w:r>
    </w:p>
    <w:p w14:paraId="2AAA3809" w14:textId="77777777" w:rsidR="00C332F0" w:rsidRPr="00081FB1" w:rsidRDefault="00C332F0" w:rsidP="00C332F0">
      <w:pPr>
        <w:pStyle w:val="EndNoteBibliography"/>
        <w:spacing w:after="0"/>
        <w:ind w:left="720" w:hanging="720"/>
      </w:pPr>
      <w:r w:rsidRPr="00081FB1">
        <w:lastRenderedPageBreak/>
        <w:t>6</w:t>
      </w:r>
      <w:r w:rsidRPr="00081FB1">
        <w:tab/>
        <w:t>Heydenreich, F. M.</w:t>
      </w:r>
      <w:r w:rsidRPr="00081FB1">
        <w:rPr>
          <w:i/>
        </w:rPr>
        <w:t xml:space="preserve"> et al.</w:t>
      </w:r>
      <w:r w:rsidRPr="00081FB1">
        <w:t xml:space="preserve"> Molecular determinants of ligand efficacy and potency in GPCR signaling. </w:t>
      </w:r>
      <w:r w:rsidRPr="00081FB1">
        <w:rPr>
          <w:i/>
        </w:rPr>
        <w:t>Science</w:t>
      </w:r>
      <w:r w:rsidRPr="00081FB1">
        <w:t xml:space="preserve"> </w:t>
      </w:r>
      <w:r w:rsidRPr="00081FB1">
        <w:rPr>
          <w:b/>
        </w:rPr>
        <w:t>382</w:t>
      </w:r>
      <w:r w:rsidRPr="00081FB1">
        <w:t xml:space="preserve">, eadh1859 (2023). </w:t>
      </w:r>
      <w:hyperlink r:id="rId14" w:history="1">
        <w:r w:rsidRPr="00081FB1">
          <w:rPr>
            <w:rStyle w:val="Hyperlink"/>
          </w:rPr>
          <w:t>https://doi.org:doi:10.1126/science.adh1859</w:t>
        </w:r>
      </w:hyperlink>
    </w:p>
    <w:p w14:paraId="5F348796" w14:textId="77777777" w:rsidR="00C332F0" w:rsidRPr="00081FB1" w:rsidRDefault="00C332F0" w:rsidP="00C332F0">
      <w:pPr>
        <w:pStyle w:val="EndNoteBibliography"/>
        <w:spacing w:after="0"/>
        <w:ind w:left="720" w:hanging="720"/>
      </w:pPr>
      <w:r w:rsidRPr="00081FB1">
        <w:t>7</w:t>
      </w:r>
      <w:r w:rsidRPr="00081FB1">
        <w:tab/>
        <w:t>Madabushi, S.</w:t>
      </w:r>
      <w:r w:rsidRPr="00081FB1">
        <w:rPr>
          <w:i/>
        </w:rPr>
        <w:t xml:space="preserve"> et al.</w:t>
      </w:r>
      <w:r w:rsidRPr="00081FB1">
        <w:t xml:space="preserve"> Evolutionary trace of G protein-coupled receptors reveals clusters of residues that determine global and class-specific functions. </w:t>
      </w:r>
      <w:r w:rsidRPr="00081FB1">
        <w:rPr>
          <w:i/>
        </w:rPr>
        <w:t>J Biol Chem</w:t>
      </w:r>
      <w:r w:rsidRPr="00081FB1">
        <w:t xml:space="preserve"> </w:t>
      </w:r>
      <w:r w:rsidRPr="00081FB1">
        <w:rPr>
          <w:b/>
        </w:rPr>
        <w:t>279</w:t>
      </w:r>
      <w:r w:rsidRPr="00081FB1">
        <w:t xml:space="preserve">, 8126-8132 (2004). </w:t>
      </w:r>
      <w:hyperlink r:id="rId15" w:history="1">
        <w:r w:rsidRPr="00081FB1">
          <w:rPr>
            <w:rStyle w:val="Hyperlink"/>
          </w:rPr>
          <w:t>https://doi.org:10.1074/jbc.M312671200</w:t>
        </w:r>
      </w:hyperlink>
    </w:p>
    <w:p w14:paraId="7D4268EB" w14:textId="77777777" w:rsidR="00C332F0" w:rsidRPr="00081FB1" w:rsidRDefault="00C332F0" w:rsidP="00C332F0">
      <w:pPr>
        <w:pStyle w:val="EndNoteBibliography"/>
        <w:spacing w:after="0"/>
        <w:ind w:left="720" w:hanging="720"/>
      </w:pPr>
      <w:r w:rsidRPr="00081FB1">
        <w:t>8</w:t>
      </w:r>
      <w:r w:rsidRPr="00081FB1">
        <w:tab/>
        <w:t>Sanders, M. P.</w:t>
      </w:r>
      <w:r w:rsidRPr="00081FB1">
        <w:rPr>
          <w:i/>
        </w:rPr>
        <w:t xml:space="preserve"> et al.</w:t>
      </w:r>
      <w:r w:rsidRPr="00081FB1">
        <w:t xml:space="preserve"> ss-TEA: Entropy based identification of receptor specific ligand binding residues from a multiple sequence alignment of class A GPCRs. </w:t>
      </w:r>
      <w:r w:rsidRPr="00081FB1">
        <w:rPr>
          <w:i/>
        </w:rPr>
        <w:t>BMC Bioinformatics</w:t>
      </w:r>
      <w:r w:rsidRPr="00081FB1">
        <w:t xml:space="preserve"> </w:t>
      </w:r>
      <w:r w:rsidRPr="00081FB1">
        <w:rPr>
          <w:b/>
        </w:rPr>
        <w:t>12</w:t>
      </w:r>
      <w:r w:rsidRPr="00081FB1">
        <w:t xml:space="preserve">, 332 (2011). </w:t>
      </w:r>
      <w:hyperlink r:id="rId16" w:history="1">
        <w:r w:rsidRPr="00081FB1">
          <w:rPr>
            <w:rStyle w:val="Hyperlink"/>
          </w:rPr>
          <w:t>https://doi.org:10.1186/1471-2105-12-332</w:t>
        </w:r>
      </w:hyperlink>
    </w:p>
    <w:p w14:paraId="77C000FE" w14:textId="77777777" w:rsidR="00C332F0" w:rsidRPr="00081FB1" w:rsidRDefault="00C332F0" w:rsidP="00C332F0">
      <w:pPr>
        <w:pStyle w:val="EndNoteBibliography"/>
        <w:ind w:left="720" w:hanging="720"/>
      </w:pPr>
      <w:r w:rsidRPr="00081FB1">
        <w:t>9</w:t>
      </w:r>
      <w:r w:rsidRPr="00081FB1">
        <w:tab/>
        <w:t>Varadi, M.</w:t>
      </w:r>
      <w:r w:rsidRPr="00081FB1">
        <w:rPr>
          <w:i/>
        </w:rPr>
        <w:t xml:space="preserve"> et al.</w:t>
      </w:r>
      <w:r w:rsidRPr="00081FB1">
        <w:t xml:space="preserve"> AlphaFold Protein Structure Database in 2024: providing structure coverage for over 214 million protein sequences. </w:t>
      </w:r>
      <w:r w:rsidRPr="00081FB1">
        <w:rPr>
          <w:i/>
        </w:rPr>
        <w:t>Nucleic Acids Research</w:t>
      </w:r>
      <w:r w:rsidRPr="00081FB1">
        <w:t xml:space="preserve"> </w:t>
      </w:r>
      <w:r w:rsidRPr="00081FB1">
        <w:rPr>
          <w:b/>
        </w:rPr>
        <w:t>52</w:t>
      </w:r>
      <w:r w:rsidRPr="00081FB1">
        <w:t xml:space="preserve">, D368-D375 (2024). </w:t>
      </w:r>
      <w:hyperlink r:id="rId17" w:history="1">
        <w:r w:rsidRPr="00081FB1">
          <w:rPr>
            <w:rStyle w:val="Hyperlink"/>
          </w:rPr>
          <w:t>https://doi.org:10.1093/nar/gkad1011</w:t>
        </w:r>
      </w:hyperlink>
    </w:p>
    <w:p w14:paraId="1BF319C5" w14:textId="77777777" w:rsidR="00C332F0" w:rsidRPr="00890842" w:rsidRDefault="00C332F0" w:rsidP="00C332F0">
      <w:pPr>
        <w:rPr>
          <w:rFonts w:ascii="Arial" w:hAnsi="Arial" w:cs="Arial"/>
        </w:rPr>
      </w:pPr>
      <w:r w:rsidRPr="00890842">
        <w:rPr>
          <w:rFonts w:ascii="Arial" w:hAnsi="Arial" w:cs="Arial"/>
        </w:rPr>
        <w:fldChar w:fldCharType="end"/>
      </w:r>
    </w:p>
    <w:bookmarkEnd w:id="0"/>
    <w:p w14:paraId="32F932E7" w14:textId="640EE8FE" w:rsidR="00E73960" w:rsidRPr="00890842" w:rsidRDefault="00E73960">
      <w:pPr>
        <w:rPr>
          <w:rFonts w:ascii="Arial" w:hAnsi="Arial" w:cs="Arial"/>
        </w:rPr>
      </w:pPr>
    </w:p>
    <w:sectPr w:rsidR="00E73960" w:rsidRPr="008908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3D61DC"/>
    <w:multiLevelType w:val="multilevel"/>
    <w:tmpl w:val="70108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05854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sszpv0srx2p07exar7x90f2e5wvvvxspaxr&quot;&gt;My EndNote Library&lt;record-ids&gt;&lt;item&gt;31&lt;/item&gt;&lt;item&gt;174&lt;/item&gt;&lt;item&gt;203&lt;/item&gt;&lt;item&gt;292&lt;/item&gt;&lt;item&gt;439&lt;/item&gt;&lt;item&gt;440&lt;/item&gt;&lt;item&gt;441&lt;/item&gt;&lt;item&gt;442&lt;/item&gt;&lt;item&gt;445&lt;/item&gt;&lt;/record-ids&gt;&lt;/item&gt;&lt;/Libraries&gt;"/>
  </w:docVars>
  <w:rsids>
    <w:rsidRoot w:val="009F6356"/>
    <w:rsid w:val="00046BA5"/>
    <w:rsid w:val="00053AA3"/>
    <w:rsid w:val="000B56CD"/>
    <w:rsid w:val="000D78D2"/>
    <w:rsid w:val="00100360"/>
    <w:rsid w:val="00140F65"/>
    <w:rsid w:val="0015295F"/>
    <w:rsid w:val="00190DED"/>
    <w:rsid w:val="001914FD"/>
    <w:rsid w:val="001F1A07"/>
    <w:rsid w:val="00224F6C"/>
    <w:rsid w:val="00231C80"/>
    <w:rsid w:val="00242333"/>
    <w:rsid w:val="00254A51"/>
    <w:rsid w:val="002722C8"/>
    <w:rsid w:val="00277900"/>
    <w:rsid w:val="00290122"/>
    <w:rsid w:val="002A7433"/>
    <w:rsid w:val="002B2019"/>
    <w:rsid w:val="00341C62"/>
    <w:rsid w:val="00363A27"/>
    <w:rsid w:val="003E7C8B"/>
    <w:rsid w:val="00405067"/>
    <w:rsid w:val="00445575"/>
    <w:rsid w:val="004553A8"/>
    <w:rsid w:val="00484A8C"/>
    <w:rsid w:val="004A0738"/>
    <w:rsid w:val="004A3462"/>
    <w:rsid w:val="004B535D"/>
    <w:rsid w:val="004D045C"/>
    <w:rsid w:val="004E7C24"/>
    <w:rsid w:val="00521FFB"/>
    <w:rsid w:val="0053199E"/>
    <w:rsid w:val="00546A8A"/>
    <w:rsid w:val="005D2C90"/>
    <w:rsid w:val="005E7CC5"/>
    <w:rsid w:val="00612767"/>
    <w:rsid w:val="00640051"/>
    <w:rsid w:val="00653148"/>
    <w:rsid w:val="00667220"/>
    <w:rsid w:val="0068588A"/>
    <w:rsid w:val="006918F8"/>
    <w:rsid w:val="006A4676"/>
    <w:rsid w:val="006B37CB"/>
    <w:rsid w:val="006B5C50"/>
    <w:rsid w:val="006D06E4"/>
    <w:rsid w:val="0072109A"/>
    <w:rsid w:val="00780611"/>
    <w:rsid w:val="00782A5B"/>
    <w:rsid w:val="007835B4"/>
    <w:rsid w:val="007E426C"/>
    <w:rsid w:val="008206F9"/>
    <w:rsid w:val="00826E6A"/>
    <w:rsid w:val="008400C8"/>
    <w:rsid w:val="00842AAF"/>
    <w:rsid w:val="00890842"/>
    <w:rsid w:val="008964FD"/>
    <w:rsid w:val="008C6FA5"/>
    <w:rsid w:val="008F52AD"/>
    <w:rsid w:val="008F623E"/>
    <w:rsid w:val="009165B7"/>
    <w:rsid w:val="0093313B"/>
    <w:rsid w:val="00971391"/>
    <w:rsid w:val="00976922"/>
    <w:rsid w:val="009B38AE"/>
    <w:rsid w:val="009F6356"/>
    <w:rsid w:val="00A0190E"/>
    <w:rsid w:val="00A10E6D"/>
    <w:rsid w:val="00A4634F"/>
    <w:rsid w:val="00A4797F"/>
    <w:rsid w:val="00AC378F"/>
    <w:rsid w:val="00B23634"/>
    <w:rsid w:val="00B27E58"/>
    <w:rsid w:val="00B44988"/>
    <w:rsid w:val="00B5644C"/>
    <w:rsid w:val="00B60DCB"/>
    <w:rsid w:val="00BA65EE"/>
    <w:rsid w:val="00BB0B16"/>
    <w:rsid w:val="00BC37A5"/>
    <w:rsid w:val="00BE5447"/>
    <w:rsid w:val="00BE70D8"/>
    <w:rsid w:val="00C332F0"/>
    <w:rsid w:val="00C448A7"/>
    <w:rsid w:val="00CA63D8"/>
    <w:rsid w:val="00CB34D9"/>
    <w:rsid w:val="00CD3781"/>
    <w:rsid w:val="00D82702"/>
    <w:rsid w:val="00DD52F9"/>
    <w:rsid w:val="00DD6D9B"/>
    <w:rsid w:val="00E111CB"/>
    <w:rsid w:val="00E11974"/>
    <w:rsid w:val="00E55A40"/>
    <w:rsid w:val="00E71264"/>
    <w:rsid w:val="00E73960"/>
    <w:rsid w:val="00EA0CF7"/>
    <w:rsid w:val="00EA5595"/>
    <w:rsid w:val="00EB0CBC"/>
    <w:rsid w:val="00ED7B54"/>
    <w:rsid w:val="00EF1BAB"/>
    <w:rsid w:val="00F1249D"/>
    <w:rsid w:val="00F21666"/>
    <w:rsid w:val="00F26E54"/>
    <w:rsid w:val="00F401EE"/>
    <w:rsid w:val="00F767A0"/>
    <w:rsid w:val="00F92FF0"/>
    <w:rsid w:val="00F97149"/>
    <w:rsid w:val="00F9766D"/>
    <w:rsid w:val="00FA25EF"/>
    <w:rsid w:val="00FC7DF1"/>
    <w:rsid w:val="00FF2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0BF78"/>
  <w15:chartTrackingRefBased/>
  <w15:docId w15:val="{3658C638-8A7F-432A-A4C8-D4565F9B8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3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63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63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3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3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3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3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3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3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3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63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63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3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3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3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3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3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356"/>
    <w:rPr>
      <w:rFonts w:eastAsiaTheme="majorEastAsia" w:cstheme="majorBidi"/>
      <w:color w:val="272727" w:themeColor="text1" w:themeTint="D8"/>
    </w:rPr>
  </w:style>
  <w:style w:type="paragraph" w:styleId="Title">
    <w:name w:val="Title"/>
    <w:basedOn w:val="Normal"/>
    <w:next w:val="Normal"/>
    <w:link w:val="TitleChar"/>
    <w:uiPriority w:val="10"/>
    <w:qFormat/>
    <w:rsid w:val="009F6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3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3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3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356"/>
    <w:pPr>
      <w:spacing w:before="160"/>
      <w:jc w:val="center"/>
    </w:pPr>
    <w:rPr>
      <w:i/>
      <w:iCs/>
      <w:color w:val="404040" w:themeColor="text1" w:themeTint="BF"/>
    </w:rPr>
  </w:style>
  <w:style w:type="character" w:customStyle="1" w:styleId="QuoteChar">
    <w:name w:val="Quote Char"/>
    <w:basedOn w:val="DefaultParagraphFont"/>
    <w:link w:val="Quote"/>
    <w:uiPriority w:val="29"/>
    <w:rsid w:val="009F6356"/>
    <w:rPr>
      <w:i/>
      <w:iCs/>
      <w:color w:val="404040" w:themeColor="text1" w:themeTint="BF"/>
    </w:rPr>
  </w:style>
  <w:style w:type="paragraph" w:styleId="ListParagraph">
    <w:name w:val="List Paragraph"/>
    <w:basedOn w:val="Normal"/>
    <w:uiPriority w:val="34"/>
    <w:qFormat/>
    <w:rsid w:val="009F6356"/>
    <w:pPr>
      <w:ind w:left="720"/>
      <w:contextualSpacing/>
    </w:pPr>
  </w:style>
  <w:style w:type="character" w:styleId="IntenseEmphasis">
    <w:name w:val="Intense Emphasis"/>
    <w:basedOn w:val="DefaultParagraphFont"/>
    <w:uiPriority w:val="21"/>
    <w:qFormat/>
    <w:rsid w:val="009F6356"/>
    <w:rPr>
      <w:i/>
      <w:iCs/>
      <w:color w:val="0F4761" w:themeColor="accent1" w:themeShade="BF"/>
    </w:rPr>
  </w:style>
  <w:style w:type="paragraph" w:styleId="IntenseQuote">
    <w:name w:val="Intense Quote"/>
    <w:basedOn w:val="Normal"/>
    <w:next w:val="Normal"/>
    <w:link w:val="IntenseQuoteChar"/>
    <w:uiPriority w:val="30"/>
    <w:qFormat/>
    <w:rsid w:val="009F63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356"/>
    <w:rPr>
      <w:i/>
      <w:iCs/>
      <w:color w:val="0F4761" w:themeColor="accent1" w:themeShade="BF"/>
    </w:rPr>
  </w:style>
  <w:style w:type="character" w:styleId="IntenseReference">
    <w:name w:val="Intense Reference"/>
    <w:basedOn w:val="DefaultParagraphFont"/>
    <w:uiPriority w:val="32"/>
    <w:qFormat/>
    <w:rsid w:val="009F6356"/>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B27E58"/>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B27E58"/>
    <w:rPr>
      <w:rFonts w:ascii="Aptos" w:hAnsi="Aptos"/>
      <w:noProof/>
    </w:rPr>
  </w:style>
  <w:style w:type="paragraph" w:customStyle="1" w:styleId="EndNoteBibliography">
    <w:name w:val="EndNote Bibliography"/>
    <w:basedOn w:val="Normal"/>
    <w:link w:val="EndNoteBibliographyChar"/>
    <w:rsid w:val="00B27E58"/>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B27E58"/>
    <w:rPr>
      <w:rFonts w:ascii="Aptos" w:hAnsi="Aptos"/>
      <w:noProof/>
    </w:rPr>
  </w:style>
  <w:style w:type="character" w:styleId="Hyperlink">
    <w:name w:val="Hyperlink"/>
    <w:basedOn w:val="DefaultParagraphFont"/>
    <w:uiPriority w:val="99"/>
    <w:unhideWhenUsed/>
    <w:rsid w:val="00B27E58"/>
    <w:rPr>
      <w:color w:val="467886" w:themeColor="hyperlink"/>
      <w:u w:val="single"/>
    </w:rPr>
  </w:style>
  <w:style w:type="character" w:styleId="UnresolvedMention">
    <w:name w:val="Unresolved Mention"/>
    <w:basedOn w:val="DefaultParagraphFont"/>
    <w:uiPriority w:val="99"/>
    <w:semiHidden/>
    <w:unhideWhenUsed/>
    <w:rsid w:val="00B27E58"/>
    <w:rPr>
      <w:color w:val="605E5C"/>
      <w:shd w:val="clear" w:color="auto" w:fill="E1DFDD"/>
    </w:rPr>
  </w:style>
  <w:style w:type="paragraph" w:styleId="Revision">
    <w:name w:val="Revision"/>
    <w:hidden/>
    <w:uiPriority w:val="99"/>
    <w:semiHidden/>
    <w:rsid w:val="00224F6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38/s41594-025-01659-6"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doi.org:https://doi.org/10.1016/j.cell.2024.11.036" TargetMode="External"/><Relationship Id="rId17" Type="http://schemas.openxmlformats.org/officeDocument/2006/relationships/hyperlink" Target="https://doi.org:10.1093/nar/gkad1011" TargetMode="External"/><Relationship Id="rId2" Type="http://schemas.openxmlformats.org/officeDocument/2006/relationships/styles" Target="styles.xml"/><Relationship Id="rId16" Type="http://schemas.openxmlformats.org/officeDocument/2006/relationships/hyperlink" Target="https://doi.org:10.1186/1471-2105-12-332"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i.org:10.7554/elife.54895" TargetMode="External"/><Relationship Id="rId5" Type="http://schemas.openxmlformats.org/officeDocument/2006/relationships/hyperlink" Target="mailto:oadebali@sabanciuniv.edu" TargetMode="External"/><Relationship Id="rId15" Type="http://schemas.openxmlformats.org/officeDocument/2006/relationships/hyperlink" Target="https://doi.org:10.1074/jbc.M312671200" TargetMode="External"/><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i.org:doi:10.1126/science.adh18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7</Pages>
  <Words>2537</Words>
  <Characters>14464</Characters>
  <Application>Microsoft Office Word</Application>
  <DocSecurity>0</DocSecurity>
  <Lines>120</Lines>
  <Paragraphs>33</Paragraphs>
  <ScaleCrop>false</ScaleCrop>
  <Company>The Ohio State University</Company>
  <LinksUpToDate>false</LinksUpToDate>
  <CharactersWithSpaces>16968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Selcuk, Berkay</dc:creator>
  <cp:keywords/>
  <dc:description/>
  <cp:lastModifiedBy>Selcuk, Berkay</cp:lastModifiedBy>
  <cp:revision>92</cp:revision>
  <dcterms:created xsi:type="dcterms:W3CDTF">2025-11-30T18:41:00Z</dcterms:created>
  <dcterms:modified xsi:type="dcterms:W3CDTF">2026-04-29T19:35:00Z</dcterms:modified>
</cp:coreProperties>
</file>