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52A" w:rsidRDefault="008A0F2E">
      <w:pPr>
        <w:spacing w:after="633"/>
        <w:ind w:left="0" w:firstLine="0"/>
      </w:pPr>
      <w:bookmarkStart w:id="0" w:name="_GoBack"/>
      <w:bookmarkEnd w:id="0"/>
      <w:r>
        <w:rPr>
          <w:rFonts w:ascii="等线" w:eastAsia="等线" w:hAnsi="等线" w:cs="等线"/>
          <w:b/>
          <w:sz w:val="44"/>
        </w:rPr>
        <w:t xml:space="preserve">9.1 </w:t>
      </w:r>
      <w:r>
        <w:rPr>
          <w:rFonts w:ascii="黑体" w:eastAsia="黑体" w:hAnsi="黑体" w:cs="黑体"/>
          <w:sz w:val="42"/>
        </w:rPr>
        <w:t>专业特色、实施过程和效果说明</w:t>
      </w:r>
      <w:r>
        <w:rPr>
          <w:rFonts w:ascii="等线" w:eastAsia="等线" w:hAnsi="等线" w:cs="等线"/>
          <w:b/>
          <w:sz w:val="44"/>
        </w:rPr>
        <w:t xml:space="preserve"> </w:t>
      </w:r>
    </w:p>
    <w:p w:rsidR="00AC252A" w:rsidRDefault="008A0F2E">
      <w:pPr>
        <w:pStyle w:val="1"/>
        <w:ind w:left="-5"/>
      </w:pPr>
      <w:r>
        <w:t>一、专业特色与实施过程</w:t>
      </w:r>
      <w:r>
        <w:rPr>
          <w:rFonts w:ascii="等线" w:eastAsia="等线" w:hAnsi="等线" w:cs="等线"/>
        </w:rPr>
        <w:t xml:space="preserve"> </w:t>
      </w:r>
    </w:p>
    <w:p w:rsidR="00AC252A" w:rsidRDefault="008A0F2E">
      <w:pPr>
        <w:spacing w:after="1" w:line="340" w:lineRule="auto"/>
        <w:ind w:left="0" w:firstLine="480"/>
      </w:pPr>
      <w:r>
        <w:t>本专业前身是创建于</w:t>
      </w:r>
      <w:r>
        <w:t xml:space="preserve"> </w:t>
      </w:r>
      <w:r>
        <w:rPr>
          <w:rFonts w:ascii="等线" w:eastAsia="等线" w:hAnsi="等线" w:cs="等线"/>
        </w:rPr>
        <w:t xml:space="preserve">1972 </w:t>
      </w:r>
      <w:r>
        <w:t>年的郑州大学计算技术专业，为河南省最早的计算机类专业。</w:t>
      </w:r>
      <w:r>
        <w:rPr>
          <w:rFonts w:ascii="等线" w:eastAsia="等线" w:hAnsi="等线" w:cs="等线"/>
        </w:rPr>
        <w:t xml:space="preserve">2006 </w:t>
      </w:r>
      <w:r>
        <w:t>年获</w:t>
      </w:r>
      <w:r>
        <w:t>“</w:t>
      </w:r>
      <w:r>
        <w:t>计算机软件与理论</w:t>
      </w:r>
      <w:r>
        <w:t>”</w:t>
      </w:r>
      <w:r>
        <w:t>二级学科博士点，</w:t>
      </w:r>
      <w:r>
        <w:rPr>
          <w:rFonts w:ascii="等线" w:eastAsia="等线" w:hAnsi="等线" w:cs="等线"/>
        </w:rPr>
        <w:t xml:space="preserve">2011 </w:t>
      </w:r>
      <w:r>
        <w:t>年首批次获准调整为</w:t>
      </w:r>
      <w:r>
        <w:t>“</w:t>
      </w:r>
      <w:r>
        <w:t>软件工程</w:t>
      </w:r>
      <w:r>
        <w:t>”</w:t>
      </w:r>
      <w:r>
        <w:t>一级学科博士点。是河南省普通高等学校本科工程教育人才培养模式改革试点专业。</w:t>
      </w:r>
      <w:r>
        <w:rPr>
          <w:rFonts w:ascii="等线" w:eastAsia="等线" w:hAnsi="等线" w:cs="等线"/>
        </w:rPr>
        <w:t xml:space="preserve"> </w:t>
      </w:r>
    </w:p>
    <w:p w:rsidR="00AC252A" w:rsidRDefault="008A0F2E">
      <w:pPr>
        <w:spacing w:after="22" w:line="325" w:lineRule="auto"/>
        <w:ind w:left="0" w:firstLine="480"/>
      </w:pPr>
      <w:r>
        <w:t>以人才培养为根本任务，以学科建设为龙头，以工程化人才培养为特色，通过加强专业方向的凝练、拓展国际合作、培育创新性人才等策略，力争将本专业建设成具有区域性示范、国内具有一定影响力的学科专业。</w:t>
      </w:r>
      <w:r>
        <w:rPr>
          <w:rFonts w:ascii="等线" w:eastAsia="等线" w:hAnsi="等线" w:cs="等线"/>
        </w:rPr>
        <w:t xml:space="preserve"> </w:t>
      </w:r>
    </w:p>
    <w:p w:rsidR="00AC252A" w:rsidRDefault="008A0F2E">
      <w:pPr>
        <w:spacing w:after="32" w:line="326" w:lineRule="auto"/>
        <w:ind w:left="0" w:firstLine="480"/>
      </w:pPr>
      <w:r>
        <w:t>培养适应社会与经济发展需要，具有较高道德文化修养、良好职业道德和社会责任感；具有较强创新意识和工程实践能力；具有国际视野与终身学习的能力；具有组织管理和团队合作能力；掌握扎实的计算机科学与技术基础理论与专业知识；具备软件设计与编程、项目规范管理、交流与组织协调能力；能够从事计算机领域研究、开发、管理、维护等工作的高级工程技术人才。</w:t>
      </w:r>
      <w:r>
        <w:rPr>
          <w:rFonts w:ascii="等线" w:eastAsia="等线" w:hAnsi="等线" w:cs="等线"/>
        </w:rPr>
        <w:t xml:space="preserve"> </w:t>
      </w:r>
    </w:p>
    <w:p w:rsidR="00AC252A" w:rsidRDefault="008A0F2E">
      <w:pPr>
        <w:numPr>
          <w:ilvl w:val="0"/>
          <w:numId w:val="1"/>
        </w:numPr>
        <w:ind w:hanging="360"/>
      </w:pPr>
      <w:r>
        <w:t>重视专业建设顶层设计，构建多维度立体化教学体系</w:t>
      </w:r>
      <w:r>
        <w:rPr>
          <w:rFonts w:ascii="等线" w:eastAsia="等线" w:hAnsi="等线" w:cs="等线"/>
        </w:rPr>
        <w:t xml:space="preserve"> </w:t>
      </w:r>
    </w:p>
    <w:p w:rsidR="00AC252A" w:rsidRDefault="008A0F2E">
      <w:pPr>
        <w:spacing w:after="43" w:line="327" w:lineRule="auto"/>
        <w:ind w:left="0" w:firstLine="480"/>
      </w:pPr>
      <w:r>
        <w:t>在专业建设中，重视顶层设计方法论研究与实践，多年来强调学生的工程素质培养，大力推进实践教学改革，构建从教学研究型</w:t>
      </w:r>
      <w:proofErr w:type="gramStart"/>
      <w:r>
        <w:t>向研究</w:t>
      </w:r>
      <w:proofErr w:type="gramEnd"/>
      <w:r>
        <w:t>教学型过</w:t>
      </w:r>
      <w:r>
        <w:t>渡的本科教学相适应的多维度立体化教学体系，以创新意识培养为先导、以学生能力培养为主线、以加强学生工程训练和设计能力培养为重点，构建</w:t>
      </w:r>
      <w:r>
        <w:rPr>
          <w:rFonts w:ascii="等线" w:eastAsia="等线" w:hAnsi="等线" w:cs="等线"/>
        </w:rPr>
        <w:t>“</w:t>
      </w:r>
      <w:r>
        <w:t>基础型、应用型、综合型、设计型、创新型</w:t>
      </w:r>
      <w:r>
        <w:rPr>
          <w:rFonts w:ascii="等线" w:eastAsia="等线" w:hAnsi="等线" w:cs="等线"/>
        </w:rPr>
        <w:t>”</w:t>
      </w:r>
      <w:r>
        <w:t>的教学体系。</w:t>
      </w:r>
      <w:r>
        <w:rPr>
          <w:rFonts w:ascii="等线" w:eastAsia="等线" w:hAnsi="等线" w:cs="等线"/>
        </w:rPr>
        <w:t xml:space="preserve"> </w:t>
      </w:r>
    </w:p>
    <w:p w:rsidR="00AC252A" w:rsidRDefault="008A0F2E">
      <w:pPr>
        <w:numPr>
          <w:ilvl w:val="0"/>
          <w:numId w:val="1"/>
        </w:numPr>
        <w:ind w:hanging="360"/>
      </w:pPr>
      <w:r>
        <w:t>扎实推进创新平台建设，建立人才培养</w:t>
      </w:r>
      <w:proofErr w:type="gramStart"/>
      <w:r>
        <w:t>长效保障</w:t>
      </w:r>
      <w:proofErr w:type="gramEnd"/>
      <w:r>
        <w:t>机制</w:t>
      </w:r>
      <w:r>
        <w:rPr>
          <w:rFonts w:ascii="等线" w:eastAsia="等线" w:hAnsi="等线" w:cs="等线"/>
        </w:rPr>
        <w:t xml:space="preserve"> </w:t>
      </w:r>
    </w:p>
    <w:p w:rsidR="00AC252A" w:rsidRDefault="008A0F2E">
      <w:pPr>
        <w:spacing w:after="33" w:line="325" w:lineRule="auto"/>
        <w:ind w:left="0" w:firstLine="480"/>
      </w:pPr>
      <w:r>
        <w:t>培养和管理工作中重视学生动手能力和创新能力培养，积极鼓励学生参与各类科技创新与社会实践活动，并将其作为学生综合素质评定和推荐免试研究生的参考依据。依托各教学和科研团队，逐步形成了持续稳定的大学生科技创新竞赛指导教师队伍，实现了建设学生课外科技活动体系的长效机制。在学生成长过</w:t>
      </w:r>
      <w:r>
        <w:t>程中，专业教师对学生指导作用通过课堂教学、各项实践教学活动、各类讲座和个别辅导等进行渗透和贯彻。</w:t>
      </w:r>
      <w:r>
        <w:rPr>
          <w:rFonts w:ascii="等线" w:eastAsia="等线" w:hAnsi="等线" w:cs="等线"/>
        </w:rPr>
        <w:t xml:space="preserve"> </w:t>
      </w:r>
    </w:p>
    <w:p w:rsidR="00AC252A" w:rsidRDefault="008A0F2E">
      <w:pPr>
        <w:numPr>
          <w:ilvl w:val="0"/>
          <w:numId w:val="1"/>
        </w:numPr>
        <w:spacing w:after="27" w:line="329" w:lineRule="auto"/>
        <w:ind w:hanging="360"/>
      </w:pPr>
      <w:r>
        <w:lastRenderedPageBreak/>
        <w:t>突出国际视野能力培养，深度挖掘国际合作办学潜力中德、中澳联合办学是本专业的特色项目。计算机科学与技术专业和国外大学计算机工程专业的合作项目是经过教育部正式批准的中外合作办学项目（</w:t>
      </w:r>
      <w:proofErr w:type="gramStart"/>
      <w:r>
        <w:t>豫教科</w:t>
      </w:r>
      <w:proofErr w:type="gramEnd"/>
      <w:r>
        <w:t>外</w:t>
      </w:r>
      <w:r>
        <w:rPr>
          <w:rFonts w:ascii="等线" w:eastAsia="等线" w:hAnsi="等线" w:cs="等线"/>
        </w:rPr>
        <w:t xml:space="preserve">[2004]43 </w:t>
      </w:r>
      <w:r>
        <w:t>号）。本专业系统引进国外大学优质教学资源，与外方共同制定培养计划，重视学生工程实践能力培养。同时，学院每年派多名教师与管理人员出国进行访问交流合作，了解和熟悉国外先进的教育理念、管理制度和教学方法，并不断优化</w:t>
      </w:r>
      <w:r>
        <w:t>培养方案。</w:t>
      </w:r>
      <w:r>
        <w:rPr>
          <w:rFonts w:ascii="等线" w:eastAsia="等线" w:hAnsi="等线" w:cs="等线"/>
        </w:rPr>
        <w:t xml:space="preserve"> </w:t>
      </w:r>
    </w:p>
    <w:p w:rsidR="00AC252A" w:rsidRDefault="008A0F2E">
      <w:pPr>
        <w:numPr>
          <w:ilvl w:val="0"/>
          <w:numId w:val="1"/>
        </w:numPr>
        <w:spacing w:after="453" w:line="330" w:lineRule="auto"/>
        <w:ind w:hanging="360"/>
      </w:pPr>
      <w:r>
        <w:t>探索科研转化教学新路，并行提高教师水平学生能力</w:t>
      </w:r>
      <w:r>
        <w:rPr>
          <w:rFonts w:ascii="等线" w:eastAsia="等线" w:hAnsi="等线" w:cs="等线"/>
        </w:rPr>
        <w:t xml:space="preserve">     </w:t>
      </w:r>
      <w:r>
        <w:t>教学团队一直坚持教学与科研相结合。科学研究为教学改革提供了源源不断的动力和物质基础，有力地推动了教学改革的进行及教学质量的提高。教师在教学过程中，能够将自己的科研成果及时融入到课堂授课内容中去，把最新的知识和信息传递给学生，从而丰富课堂教学内容，弥补了课本知识基础性强、新颖性不足的缺陷。主要手段包括：科研工作为教学服务，科研成果直接应用于教学；通过科研培养教师队伍的教学、教育水平；鼓励学生参加科研工作，提高学生创新能力；积极开展学术交流，</w:t>
      </w:r>
      <w:r>
        <w:t>了解最新科学进展。</w:t>
      </w:r>
      <w:r>
        <w:rPr>
          <w:rFonts w:ascii="等线" w:eastAsia="等线" w:hAnsi="等线" w:cs="等线"/>
        </w:rPr>
        <w:t xml:space="preserve"> </w:t>
      </w:r>
    </w:p>
    <w:p w:rsidR="00AC252A" w:rsidRDefault="008A0F2E">
      <w:pPr>
        <w:pStyle w:val="1"/>
        <w:ind w:left="-5"/>
      </w:pPr>
      <w:r>
        <w:t>二、效果说明</w:t>
      </w:r>
      <w:r>
        <w:rPr>
          <w:rFonts w:ascii="等线" w:eastAsia="等线" w:hAnsi="等线" w:cs="等线"/>
        </w:rPr>
        <w:t xml:space="preserve"> </w:t>
      </w:r>
    </w:p>
    <w:p w:rsidR="00AC252A" w:rsidRDefault="008A0F2E">
      <w:pPr>
        <w:ind w:left="475"/>
      </w:pPr>
      <w:r>
        <w:t>本专业在教学实施与教学改革方面取得了一系列可喜的结果。</w:t>
      </w:r>
      <w:r>
        <w:rPr>
          <w:rFonts w:ascii="等线" w:eastAsia="等线" w:hAnsi="等线" w:cs="等线"/>
        </w:rPr>
        <w:t xml:space="preserve"> </w:t>
      </w:r>
    </w:p>
    <w:p w:rsidR="00AC252A" w:rsidRDefault="008A0F2E">
      <w:pPr>
        <w:numPr>
          <w:ilvl w:val="0"/>
          <w:numId w:val="2"/>
        </w:numPr>
        <w:spacing w:after="2" w:line="335" w:lineRule="auto"/>
        <w:ind w:firstLine="480"/>
      </w:pPr>
      <w:r>
        <w:t>已成为河南省以及国家信息技术相关行业高级人才培养和研发的基地，在算法与计算复杂性理论、数据挖掘与机器学习、自动机理论与模型验证、研究智能软件开发技术、图形图像技术及应用、自然语言处理、</w:t>
      </w:r>
      <w:proofErr w:type="gramStart"/>
      <w:r>
        <w:t>云计算</w:t>
      </w:r>
      <w:proofErr w:type="gramEnd"/>
      <w:r>
        <w:t>与应用支撑技术及智慧城市和互联网医疗关键技术等方面取得了重要研究成果，享有较高的学术声誉。本专业教师取得的主要教学成果包括：</w:t>
      </w:r>
      <w:r>
        <w:rPr>
          <w:rFonts w:ascii="等线" w:eastAsia="等线" w:hAnsi="等线" w:cs="等线"/>
        </w:rPr>
        <w:t xml:space="preserve">2012 </w:t>
      </w:r>
      <w:r>
        <w:t>年获批河南省普通高等学校本科工程教育人才培养模式改革试点专业；《汇编语言程序设计》被评为河南省精品课程；十余项教学改革项目获得河南省教育厅和郑州大学教学改革立项。</w:t>
      </w:r>
      <w:r>
        <w:rPr>
          <w:rFonts w:ascii="等线" w:eastAsia="等线" w:hAnsi="等线" w:cs="等线"/>
        </w:rPr>
        <w:t xml:space="preserve"> </w:t>
      </w:r>
    </w:p>
    <w:p w:rsidR="00AC252A" w:rsidRDefault="008A0F2E">
      <w:pPr>
        <w:numPr>
          <w:ilvl w:val="0"/>
          <w:numId w:val="2"/>
        </w:numPr>
        <w:spacing w:after="0" w:line="337" w:lineRule="auto"/>
        <w:ind w:firstLine="480"/>
      </w:pPr>
      <w:r>
        <w:t>在毕业论文（设计）这个本科培养计划中的最重要的实践环节，本专业严把毕业环节四关（选题关、中期检查关、论文质量关、答辩关），要求毕业论文（设计）与工程实际相结合，与教师的科研结合，逐步提高设计型题目和</w:t>
      </w:r>
      <w:r>
        <w:rPr>
          <w:rFonts w:ascii="等线" w:eastAsia="等线" w:hAnsi="等线" w:cs="等线"/>
        </w:rPr>
        <w:t>“</w:t>
      </w:r>
      <w:r>
        <w:t>真题真做</w:t>
      </w:r>
      <w:r>
        <w:rPr>
          <w:rFonts w:ascii="等线" w:eastAsia="等线" w:hAnsi="等线" w:cs="等线"/>
        </w:rPr>
        <w:t>”</w:t>
      </w:r>
      <w:r>
        <w:t>题目比例，缩小模拟题比例，取得了良好效果。从近三届毕业论文的统</w:t>
      </w:r>
      <w:r>
        <w:lastRenderedPageBreak/>
        <w:t>计来看，选题能结合实际，设计性题目较多，全面反映培养目标，难度适中，符合教</w:t>
      </w:r>
      <w:r>
        <w:t>学向教学研究型过渡的定位，达到了综合训练的目的。</w:t>
      </w:r>
      <w:r>
        <w:rPr>
          <w:rFonts w:ascii="等线" w:eastAsia="等线" w:hAnsi="等线" w:cs="等线"/>
        </w:rPr>
        <w:t xml:space="preserve"> </w:t>
      </w:r>
    </w:p>
    <w:p w:rsidR="00AC252A" w:rsidRDefault="008A0F2E">
      <w:pPr>
        <w:numPr>
          <w:ilvl w:val="0"/>
          <w:numId w:val="2"/>
        </w:numPr>
        <w:spacing w:after="0" w:line="347" w:lineRule="auto"/>
        <w:ind w:firstLine="480"/>
      </w:pPr>
      <w:r>
        <w:t>在组织学生参加软件设计大赛、学科竞赛的基础上，本专业不断总结经验，凝聚智慧，建立了完全以本科生科技创新为主题的大学生创新训练基地。目前该基地包括四个综合创新实验室：</w:t>
      </w:r>
      <w:r>
        <w:rPr>
          <w:rFonts w:ascii="等线" w:eastAsia="等线" w:hAnsi="等线" w:cs="等线"/>
        </w:rPr>
        <w:t xml:space="preserve">ACM </w:t>
      </w:r>
      <w:r>
        <w:t>程序设计实验室、软件测试实验室、智能机器人创新实验室、物联网创新实验室和电子设计创新实验室，有仪器设备</w:t>
      </w:r>
    </w:p>
    <w:p w:rsidR="00AC252A" w:rsidRDefault="008A0F2E">
      <w:r>
        <w:rPr>
          <w:rFonts w:ascii="等线" w:eastAsia="等线" w:hAnsi="等线" w:cs="等线"/>
        </w:rPr>
        <w:t xml:space="preserve">220 </w:t>
      </w:r>
      <w:r>
        <w:t>台（套），实验室面积</w:t>
      </w:r>
      <w:r>
        <w:t xml:space="preserve"> </w:t>
      </w:r>
      <w:r>
        <w:rPr>
          <w:rFonts w:ascii="等线" w:eastAsia="等线" w:hAnsi="等线" w:cs="等线"/>
        </w:rPr>
        <w:t xml:space="preserve">800 </w:t>
      </w:r>
      <w:r>
        <w:t>平方米。</w:t>
      </w:r>
      <w:r>
        <w:rPr>
          <w:rFonts w:ascii="等线" w:eastAsia="等线" w:hAnsi="等线" w:cs="等线"/>
        </w:rPr>
        <w:t xml:space="preserve"> </w:t>
      </w:r>
    </w:p>
    <w:p w:rsidR="00AC252A" w:rsidRDefault="008A0F2E">
      <w:pPr>
        <w:numPr>
          <w:ilvl w:val="0"/>
          <w:numId w:val="3"/>
        </w:numPr>
        <w:spacing w:after="2" w:line="335" w:lineRule="auto"/>
        <w:ind w:right="105"/>
        <w:jc w:val="both"/>
      </w:pPr>
      <w:r>
        <w:t>中德、中澳合作办学项目国际化氛围浓厚，独特的</w:t>
      </w:r>
      <w:r>
        <w:t xml:space="preserve"> </w:t>
      </w:r>
      <w:r>
        <w:rPr>
          <w:rFonts w:ascii="等线" w:eastAsia="等线" w:hAnsi="等线" w:cs="等线"/>
        </w:rPr>
        <w:t xml:space="preserve">X+Y </w:t>
      </w:r>
      <w:r>
        <w:t>联合办学模式使本项目学生可以选择在郑州大学学习期间转至澳大利亚学习，毕业时取得两</w:t>
      </w:r>
      <w:r>
        <w:t>所学校的学位。</w:t>
      </w:r>
      <w:r>
        <w:rPr>
          <w:rFonts w:ascii="等线" w:eastAsia="等线" w:hAnsi="等线" w:cs="等线"/>
        </w:rPr>
        <w:t xml:space="preserve"> </w:t>
      </w:r>
    </w:p>
    <w:p w:rsidR="00AC252A" w:rsidRDefault="008A0F2E">
      <w:pPr>
        <w:numPr>
          <w:ilvl w:val="0"/>
          <w:numId w:val="3"/>
        </w:numPr>
        <w:spacing w:after="2" w:line="335" w:lineRule="auto"/>
        <w:ind w:right="105"/>
        <w:jc w:val="both"/>
      </w:pPr>
      <w:r>
        <w:t>积极开展学术交流，拓宽教师及学生视野，活跃学术气氛。定期邀请兄弟院校的学者专家及国外优秀学者到校进行学术报告，同时鼓励团队中的教师定期举行学术报告等活动，就自己所研究的领域及科研课题组的科研工作情况与广大师生进行交流互动，提高学生综合素质。本专业科研和教学团队共同积极参与地方政府有关标准和规划的制定工作，并与河南省</w:t>
      </w:r>
      <w:r>
        <w:rPr>
          <w:rFonts w:ascii="等线" w:eastAsia="等线" w:hAnsi="等线" w:cs="等线"/>
        </w:rPr>
        <w:t xml:space="preserve"> 863 </w:t>
      </w:r>
      <w:r>
        <w:t>软件孵化器有限公司等单位保持着良好的合作关系，作为本学科实习基地及科研合作单位。</w:t>
      </w:r>
      <w:r>
        <w:rPr>
          <w:rFonts w:ascii="等线" w:eastAsia="等线" w:hAnsi="等线" w:cs="等线"/>
        </w:rPr>
        <w:t xml:space="preserve"> </w:t>
      </w:r>
    </w:p>
    <w:p w:rsidR="00AC252A" w:rsidRDefault="008A0F2E">
      <w:pPr>
        <w:numPr>
          <w:ilvl w:val="0"/>
          <w:numId w:val="3"/>
        </w:numPr>
        <w:spacing w:after="452" w:line="330" w:lineRule="auto"/>
        <w:ind w:right="105"/>
        <w:jc w:val="both"/>
      </w:pPr>
      <w:r>
        <w:t>依托学科平台和实验支撑平台，经过多年建设已形成软件理论与技术、高性能计算、数据挖掘、</w:t>
      </w:r>
      <w:r>
        <w:t>机器学习与智能系统、信息安全、虚拟现实、计算机视觉技术等较为稳定的研究方向，在这些方向上近几年获得了多项国家自然科学基金以及多项河南省创新人才基金、河南省杰出青年基金、河南省重大科技攻关项目、郑州市科技攻关项目的资助。发表了一批较高水平的学术论文，申请授权了多项实用新型专利、发明专利和软件著作权，培养了一批学术带头人和学术骨干。</w:t>
      </w:r>
      <w:r>
        <w:rPr>
          <w:rFonts w:ascii="等线" w:eastAsia="等线" w:hAnsi="等线" w:cs="等线"/>
        </w:rPr>
        <w:t xml:space="preserve"> </w:t>
      </w:r>
    </w:p>
    <w:p w:rsidR="00AC252A" w:rsidRDefault="008A0F2E">
      <w:pPr>
        <w:pStyle w:val="1"/>
        <w:ind w:left="-5"/>
      </w:pPr>
      <w:r>
        <w:t>三、支撑材料清单（</w:t>
      </w:r>
      <w:proofErr w:type="gramStart"/>
      <w:r>
        <w:t>内容见云盘</w:t>
      </w:r>
      <w:proofErr w:type="gramEnd"/>
      <w:r>
        <w:t>）</w:t>
      </w:r>
      <w:r>
        <w:rPr>
          <w:rFonts w:ascii="等线" w:eastAsia="等线" w:hAnsi="等线" w:cs="等线"/>
        </w:rPr>
        <w:t xml:space="preserve"> </w:t>
      </w:r>
    </w:p>
    <w:p w:rsidR="00AC252A" w:rsidRDefault="008A0F2E">
      <w:pPr>
        <w:numPr>
          <w:ilvl w:val="0"/>
          <w:numId w:val="4"/>
        </w:numPr>
        <w:ind w:hanging="780"/>
      </w:pPr>
      <w:r>
        <w:t>学生参与科技创新活动情况</w:t>
      </w:r>
      <w:r>
        <w:rPr>
          <w:rFonts w:ascii="等线" w:eastAsia="等线" w:hAnsi="等线" w:cs="等线"/>
        </w:rPr>
        <w:t xml:space="preserve">  </w:t>
      </w:r>
    </w:p>
    <w:p w:rsidR="00AC252A" w:rsidRDefault="008A0F2E">
      <w:pPr>
        <w:numPr>
          <w:ilvl w:val="0"/>
          <w:numId w:val="4"/>
        </w:numPr>
        <w:ind w:hanging="780"/>
      </w:pPr>
      <w:r>
        <w:t>学生科技创新平台情况</w:t>
      </w:r>
      <w:r>
        <w:rPr>
          <w:rFonts w:ascii="等线" w:eastAsia="等线" w:hAnsi="等线" w:cs="等线"/>
        </w:rPr>
        <w:t xml:space="preserve">  </w:t>
      </w:r>
    </w:p>
    <w:p w:rsidR="00AC252A" w:rsidRDefault="008A0F2E">
      <w:pPr>
        <w:numPr>
          <w:ilvl w:val="0"/>
          <w:numId w:val="4"/>
        </w:numPr>
        <w:ind w:hanging="780"/>
      </w:pPr>
      <w:r>
        <w:t>行业和企业专家指导毕业设计汇总表</w:t>
      </w:r>
      <w:r>
        <w:rPr>
          <w:rFonts w:ascii="等线" w:eastAsia="等线" w:hAnsi="等线" w:cs="等线"/>
        </w:rPr>
        <w:t xml:space="preserve"> </w:t>
      </w:r>
      <w:r>
        <w:rPr>
          <w:rFonts w:ascii="等线" w:eastAsia="等线" w:hAnsi="等线" w:cs="等线"/>
        </w:rPr>
        <w:tab/>
        <w:t xml:space="preserve"> </w:t>
      </w:r>
    </w:p>
    <w:p w:rsidR="00AC252A" w:rsidRDefault="008A0F2E">
      <w:pPr>
        <w:numPr>
          <w:ilvl w:val="0"/>
          <w:numId w:val="4"/>
        </w:numPr>
        <w:ind w:hanging="780"/>
      </w:pPr>
      <w:r>
        <w:t>每个学生必须完成的企业学习经历情况表</w:t>
      </w:r>
      <w:r>
        <w:rPr>
          <w:rFonts w:ascii="等线" w:eastAsia="等线" w:hAnsi="等线" w:cs="等线"/>
        </w:rPr>
        <w:t xml:space="preserve"> </w:t>
      </w:r>
      <w:r>
        <w:rPr>
          <w:rFonts w:ascii="等线" w:eastAsia="等线" w:hAnsi="等线" w:cs="等线"/>
        </w:rPr>
        <w:tab/>
        <w:t xml:space="preserve"> </w:t>
      </w:r>
    </w:p>
    <w:p w:rsidR="00AC252A" w:rsidRDefault="008A0F2E">
      <w:pPr>
        <w:numPr>
          <w:ilvl w:val="0"/>
          <w:numId w:val="4"/>
        </w:numPr>
        <w:ind w:hanging="780"/>
      </w:pPr>
      <w:r>
        <w:t>企业参与专业教学情况表</w:t>
      </w:r>
      <w:r>
        <w:rPr>
          <w:rFonts w:ascii="等线" w:eastAsia="等线" w:hAnsi="等线" w:cs="等线"/>
        </w:rPr>
        <w:t xml:space="preserve"> </w:t>
      </w:r>
      <w:r>
        <w:rPr>
          <w:rFonts w:ascii="等线" w:eastAsia="等线" w:hAnsi="等线" w:cs="等线"/>
        </w:rPr>
        <w:tab/>
        <w:t xml:space="preserve"> </w:t>
      </w:r>
    </w:p>
    <w:p w:rsidR="00AC252A" w:rsidRDefault="008A0F2E">
      <w:pPr>
        <w:numPr>
          <w:ilvl w:val="0"/>
          <w:numId w:val="4"/>
        </w:numPr>
        <w:ind w:hanging="780"/>
      </w:pPr>
      <w:r>
        <w:lastRenderedPageBreak/>
        <w:t>信息工程学院教授学术报告统计表</w:t>
      </w:r>
      <w:r>
        <w:rPr>
          <w:rFonts w:ascii="等线" w:eastAsia="等线" w:hAnsi="等线" w:cs="等线"/>
        </w:rPr>
        <w:t xml:space="preserve">  </w:t>
      </w:r>
    </w:p>
    <w:p w:rsidR="00AC252A" w:rsidRDefault="008A0F2E">
      <w:pPr>
        <w:numPr>
          <w:ilvl w:val="0"/>
          <w:numId w:val="4"/>
        </w:numPr>
        <w:ind w:hanging="780"/>
      </w:pPr>
      <w:r>
        <w:t>郑州大学信息工程学院学术讲座情况统计表</w:t>
      </w:r>
      <w:r>
        <w:rPr>
          <w:rFonts w:ascii="等线" w:eastAsia="等线" w:hAnsi="等线" w:cs="等线"/>
        </w:rPr>
        <w:t xml:space="preserve">  </w:t>
      </w:r>
    </w:p>
    <w:p w:rsidR="00AC252A" w:rsidRDefault="008A0F2E">
      <w:pPr>
        <w:numPr>
          <w:ilvl w:val="0"/>
          <w:numId w:val="4"/>
        </w:numPr>
        <w:ind w:hanging="780"/>
      </w:pPr>
      <w:r>
        <w:t>近年来教师指导学生工作情况表</w:t>
      </w:r>
      <w:r>
        <w:rPr>
          <w:rFonts w:ascii="等线" w:eastAsia="等线" w:hAnsi="等线" w:cs="等线"/>
        </w:rPr>
        <w:t xml:space="preserve"> </w:t>
      </w:r>
      <w:r>
        <w:rPr>
          <w:rFonts w:ascii="等线" w:eastAsia="等线" w:hAnsi="等线" w:cs="等线"/>
        </w:rPr>
        <w:tab/>
        <w:t xml:space="preserve"> </w:t>
      </w:r>
    </w:p>
    <w:p w:rsidR="00AC252A" w:rsidRDefault="008A0F2E">
      <w:pPr>
        <w:numPr>
          <w:ilvl w:val="0"/>
          <w:numId w:val="4"/>
        </w:numPr>
        <w:ind w:hanging="780"/>
      </w:pPr>
      <w:r>
        <w:t>本专业的学科优势与特色</w:t>
      </w:r>
      <w:r>
        <w:rPr>
          <w:rFonts w:ascii="等线" w:eastAsia="等线" w:hAnsi="等线" w:cs="等线"/>
        </w:rPr>
        <w:t xml:space="preserve"> </w:t>
      </w:r>
      <w:r>
        <w:rPr>
          <w:rFonts w:ascii="等线" w:eastAsia="等线" w:hAnsi="等线" w:cs="等线"/>
        </w:rPr>
        <w:tab/>
        <w:t xml:space="preserve"> </w:t>
      </w:r>
    </w:p>
    <w:sectPr w:rsidR="00AC252A">
      <w:headerReference w:type="even" r:id="rId7"/>
      <w:headerReference w:type="default" r:id="rId8"/>
      <w:headerReference w:type="first" r:id="rId9"/>
      <w:pgSz w:w="11900" w:h="16840"/>
      <w:pgMar w:top="1522" w:right="1680" w:bottom="1552" w:left="1800" w:header="87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8A0F2E">
      <w:pPr>
        <w:spacing w:after="0" w:line="240" w:lineRule="auto"/>
      </w:pPr>
      <w:r>
        <w:separator/>
      </w:r>
    </w:p>
  </w:endnote>
  <w:endnote w:type="continuationSeparator" w:id="0">
    <w:p w:rsidR="00000000" w:rsidRDefault="008A0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8A0F2E">
      <w:pPr>
        <w:spacing w:after="0" w:line="240" w:lineRule="auto"/>
      </w:pPr>
      <w:r>
        <w:separator/>
      </w:r>
    </w:p>
  </w:footnote>
  <w:footnote w:type="continuationSeparator" w:id="0">
    <w:p w:rsidR="00000000" w:rsidRDefault="008A0F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52A" w:rsidRDefault="008A0F2E">
    <w:pPr>
      <w:spacing w:after="0"/>
      <w:ind w:left="288"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1124712</wp:posOffset>
              </wp:positionH>
              <wp:positionV relativeFrom="page">
                <wp:posOffset>707137</wp:posOffset>
              </wp:positionV>
              <wp:extent cx="5306568" cy="9144"/>
              <wp:effectExtent l="0" t="0" r="0" b="0"/>
              <wp:wrapSquare wrapText="bothSides"/>
              <wp:docPr id="2059" name="Group 2059"/>
              <wp:cNvGraphicFramePr/>
              <a:graphic xmlns:a="http://schemas.openxmlformats.org/drawingml/2006/main">
                <a:graphicData uri="http://schemas.microsoft.com/office/word/2010/wordprocessingGroup">
                  <wpg:wgp>
                    <wpg:cNvGrpSpPr/>
                    <wpg:grpSpPr>
                      <a:xfrm>
                        <a:off x="0" y="0"/>
                        <a:ext cx="5306568" cy="9144"/>
                        <a:chOff x="0" y="0"/>
                        <a:chExt cx="5306568" cy="9144"/>
                      </a:xfrm>
                    </wpg:grpSpPr>
                    <wps:wsp>
                      <wps:cNvPr id="2102" name="Shape 2102"/>
                      <wps:cNvSpPr/>
                      <wps:spPr>
                        <a:xfrm>
                          <a:off x="0" y="0"/>
                          <a:ext cx="5306568" cy="9144"/>
                        </a:xfrm>
                        <a:custGeom>
                          <a:avLst/>
                          <a:gdLst/>
                          <a:ahLst/>
                          <a:cxnLst/>
                          <a:rect l="0" t="0" r="0" b="0"/>
                          <a:pathLst>
                            <a:path w="5306568" h="9144">
                              <a:moveTo>
                                <a:pt x="0" y="0"/>
                              </a:moveTo>
                              <a:lnTo>
                                <a:pt x="5306568" y="0"/>
                              </a:lnTo>
                              <a:lnTo>
                                <a:pt x="53065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59" style="width:417.84pt;height:0.719971pt;position:absolute;mso-position-horizontal-relative:page;mso-position-horizontal:absolute;margin-left:88.56pt;mso-position-vertical-relative:page;margin-top:55.6801pt;" coordsize="53065,91">
              <v:shape id="Shape 2103" style="position:absolute;width:53065;height:91;left:0;top:0;" coordsize="5306568,9144" path="m0,0l5306568,0l5306568,9144l0,9144l0,0">
                <v:stroke weight="0pt" endcap="flat" joinstyle="miter" miterlimit="10" on="false" color="#000000" opacity="0"/>
                <v:fill on="true" color="#000000"/>
              </v:shape>
              <w10:wrap type="square"/>
            </v:group>
          </w:pict>
        </mc:Fallback>
      </mc:AlternateContent>
    </w:r>
    <w:r>
      <w:rPr>
        <w:rFonts w:ascii="等线" w:eastAsia="等线" w:hAnsi="等线" w:cs="等线"/>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52A" w:rsidRDefault="008A0F2E">
    <w:pPr>
      <w:spacing w:after="0"/>
      <w:ind w:left="288" w:firstLine="0"/>
      <w:jc w:val="cente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1124712</wp:posOffset>
              </wp:positionH>
              <wp:positionV relativeFrom="page">
                <wp:posOffset>707137</wp:posOffset>
              </wp:positionV>
              <wp:extent cx="5306568" cy="9144"/>
              <wp:effectExtent l="0" t="0" r="0" b="0"/>
              <wp:wrapSquare wrapText="bothSides"/>
              <wp:docPr id="2051" name="Group 2051"/>
              <wp:cNvGraphicFramePr/>
              <a:graphic xmlns:a="http://schemas.openxmlformats.org/drawingml/2006/main">
                <a:graphicData uri="http://schemas.microsoft.com/office/word/2010/wordprocessingGroup">
                  <wpg:wgp>
                    <wpg:cNvGrpSpPr/>
                    <wpg:grpSpPr>
                      <a:xfrm>
                        <a:off x="0" y="0"/>
                        <a:ext cx="5306568" cy="9144"/>
                        <a:chOff x="0" y="0"/>
                        <a:chExt cx="5306568" cy="9144"/>
                      </a:xfrm>
                    </wpg:grpSpPr>
                    <wps:wsp>
                      <wps:cNvPr id="2100" name="Shape 2100"/>
                      <wps:cNvSpPr/>
                      <wps:spPr>
                        <a:xfrm>
                          <a:off x="0" y="0"/>
                          <a:ext cx="5306568" cy="9144"/>
                        </a:xfrm>
                        <a:custGeom>
                          <a:avLst/>
                          <a:gdLst/>
                          <a:ahLst/>
                          <a:cxnLst/>
                          <a:rect l="0" t="0" r="0" b="0"/>
                          <a:pathLst>
                            <a:path w="5306568" h="9144">
                              <a:moveTo>
                                <a:pt x="0" y="0"/>
                              </a:moveTo>
                              <a:lnTo>
                                <a:pt x="5306568" y="0"/>
                              </a:lnTo>
                              <a:lnTo>
                                <a:pt x="53065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51" style="width:417.84pt;height:0.719971pt;position:absolute;mso-position-horizontal-relative:page;mso-position-horizontal:absolute;margin-left:88.56pt;mso-position-vertical-relative:page;margin-top:55.6801pt;" coordsize="53065,91">
              <v:shape id="Shape 2101" style="position:absolute;width:53065;height:91;left:0;top:0;" coordsize="5306568,9144" path="m0,0l5306568,0l5306568,9144l0,9144l0,0">
                <v:stroke weight="0pt" endcap="flat" joinstyle="miter" miterlimit="10" on="false" color="#000000" opacity="0"/>
                <v:fill on="true" color="#000000"/>
              </v:shape>
              <w10:wrap type="square"/>
            </v:group>
          </w:pict>
        </mc:Fallback>
      </mc:AlternateContent>
    </w:r>
    <w:r>
      <w:rPr>
        <w:rFonts w:ascii="等线" w:eastAsia="等线" w:hAnsi="等线" w:cs="等线"/>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52A" w:rsidRDefault="008A0F2E">
    <w:pPr>
      <w:spacing w:after="0"/>
      <w:ind w:left="288"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1124712</wp:posOffset>
              </wp:positionH>
              <wp:positionV relativeFrom="page">
                <wp:posOffset>707137</wp:posOffset>
              </wp:positionV>
              <wp:extent cx="5306568" cy="9144"/>
              <wp:effectExtent l="0" t="0" r="0" b="0"/>
              <wp:wrapSquare wrapText="bothSides"/>
              <wp:docPr id="2043" name="Group 2043"/>
              <wp:cNvGraphicFramePr/>
              <a:graphic xmlns:a="http://schemas.openxmlformats.org/drawingml/2006/main">
                <a:graphicData uri="http://schemas.microsoft.com/office/word/2010/wordprocessingGroup">
                  <wpg:wgp>
                    <wpg:cNvGrpSpPr/>
                    <wpg:grpSpPr>
                      <a:xfrm>
                        <a:off x="0" y="0"/>
                        <a:ext cx="5306568" cy="9144"/>
                        <a:chOff x="0" y="0"/>
                        <a:chExt cx="5306568" cy="9144"/>
                      </a:xfrm>
                    </wpg:grpSpPr>
                    <wps:wsp>
                      <wps:cNvPr id="2098" name="Shape 2098"/>
                      <wps:cNvSpPr/>
                      <wps:spPr>
                        <a:xfrm>
                          <a:off x="0" y="0"/>
                          <a:ext cx="5306568" cy="9144"/>
                        </a:xfrm>
                        <a:custGeom>
                          <a:avLst/>
                          <a:gdLst/>
                          <a:ahLst/>
                          <a:cxnLst/>
                          <a:rect l="0" t="0" r="0" b="0"/>
                          <a:pathLst>
                            <a:path w="5306568" h="9144">
                              <a:moveTo>
                                <a:pt x="0" y="0"/>
                              </a:moveTo>
                              <a:lnTo>
                                <a:pt x="5306568" y="0"/>
                              </a:lnTo>
                              <a:lnTo>
                                <a:pt x="53065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43" style="width:417.84pt;height:0.719971pt;position:absolute;mso-position-horizontal-relative:page;mso-position-horizontal:absolute;margin-left:88.56pt;mso-position-vertical-relative:page;margin-top:55.6801pt;" coordsize="53065,91">
              <v:shape id="Shape 2099" style="position:absolute;width:53065;height:91;left:0;top:0;" coordsize="5306568,9144" path="m0,0l5306568,0l5306568,9144l0,9144l0,0">
                <v:stroke weight="0pt" endcap="flat" joinstyle="miter" miterlimit="10" on="false" color="#000000" opacity="0"/>
                <v:fill on="true" color="#000000"/>
              </v:shape>
              <w10:wrap type="square"/>
            </v:group>
          </w:pict>
        </mc:Fallback>
      </mc:AlternateContent>
    </w:r>
    <w:r>
      <w:rPr>
        <w:rFonts w:ascii="等线" w:eastAsia="等线" w:hAnsi="等线" w:cs="等线"/>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B0FB3"/>
    <w:multiLevelType w:val="hybridMultilevel"/>
    <w:tmpl w:val="FA343F3A"/>
    <w:lvl w:ilvl="0" w:tplc="E7E83C1A">
      <w:start w:val="1"/>
      <w:numFmt w:val="decimal"/>
      <w:lvlText w:val="%1."/>
      <w:lvlJc w:val="left"/>
      <w:pPr>
        <w:ind w:left="825"/>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1" w:tplc="0FBC11BA">
      <w:start w:val="1"/>
      <w:numFmt w:val="lowerLetter"/>
      <w:lvlText w:val="%2"/>
      <w:lvlJc w:val="left"/>
      <w:pPr>
        <w:ind w:left="156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2" w:tplc="54C22842">
      <w:start w:val="1"/>
      <w:numFmt w:val="lowerRoman"/>
      <w:lvlText w:val="%3"/>
      <w:lvlJc w:val="left"/>
      <w:pPr>
        <w:ind w:left="228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3" w:tplc="F818335E">
      <w:start w:val="1"/>
      <w:numFmt w:val="decimal"/>
      <w:lvlText w:val="%4"/>
      <w:lvlJc w:val="left"/>
      <w:pPr>
        <w:ind w:left="300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4" w:tplc="079A0F3E">
      <w:start w:val="1"/>
      <w:numFmt w:val="lowerLetter"/>
      <w:lvlText w:val="%5"/>
      <w:lvlJc w:val="left"/>
      <w:pPr>
        <w:ind w:left="372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5" w:tplc="395E12E2">
      <w:start w:val="1"/>
      <w:numFmt w:val="lowerRoman"/>
      <w:lvlText w:val="%6"/>
      <w:lvlJc w:val="left"/>
      <w:pPr>
        <w:ind w:left="444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6" w:tplc="C504B096">
      <w:start w:val="1"/>
      <w:numFmt w:val="decimal"/>
      <w:lvlText w:val="%7"/>
      <w:lvlJc w:val="left"/>
      <w:pPr>
        <w:ind w:left="516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7" w:tplc="F280B246">
      <w:start w:val="1"/>
      <w:numFmt w:val="lowerLetter"/>
      <w:lvlText w:val="%8"/>
      <w:lvlJc w:val="left"/>
      <w:pPr>
        <w:ind w:left="588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8" w:tplc="99CE1416">
      <w:start w:val="1"/>
      <w:numFmt w:val="lowerRoman"/>
      <w:lvlText w:val="%9"/>
      <w:lvlJc w:val="left"/>
      <w:pPr>
        <w:ind w:left="660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69A1F6E"/>
    <w:multiLevelType w:val="hybridMultilevel"/>
    <w:tmpl w:val="E4E4B0CE"/>
    <w:lvl w:ilvl="0" w:tplc="595C945E">
      <w:start w:val="4"/>
      <w:numFmt w:val="decimal"/>
      <w:lvlText w:val="%1."/>
      <w:lvlJc w:val="left"/>
      <w:pPr>
        <w:ind w:left="1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1" w:tplc="626E76AC">
      <w:start w:val="1"/>
      <w:numFmt w:val="lowerLetter"/>
      <w:lvlText w:val="%2"/>
      <w:lvlJc w:val="left"/>
      <w:pPr>
        <w:ind w:left="156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2" w:tplc="0D303556">
      <w:start w:val="1"/>
      <w:numFmt w:val="lowerRoman"/>
      <w:lvlText w:val="%3"/>
      <w:lvlJc w:val="left"/>
      <w:pPr>
        <w:ind w:left="228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3" w:tplc="76FCFD8A">
      <w:start w:val="1"/>
      <w:numFmt w:val="decimal"/>
      <w:lvlText w:val="%4"/>
      <w:lvlJc w:val="left"/>
      <w:pPr>
        <w:ind w:left="300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4" w:tplc="41328EC8">
      <w:start w:val="1"/>
      <w:numFmt w:val="lowerLetter"/>
      <w:lvlText w:val="%5"/>
      <w:lvlJc w:val="left"/>
      <w:pPr>
        <w:ind w:left="372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5" w:tplc="27041A6C">
      <w:start w:val="1"/>
      <w:numFmt w:val="lowerRoman"/>
      <w:lvlText w:val="%6"/>
      <w:lvlJc w:val="left"/>
      <w:pPr>
        <w:ind w:left="444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6" w:tplc="E4FADE96">
      <w:start w:val="1"/>
      <w:numFmt w:val="decimal"/>
      <w:lvlText w:val="%7"/>
      <w:lvlJc w:val="left"/>
      <w:pPr>
        <w:ind w:left="516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7" w:tplc="E022263A">
      <w:start w:val="1"/>
      <w:numFmt w:val="lowerLetter"/>
      <w:lvlText w:val="%8"/>
      <w:lvlJc w:val="left"/>
      <w:pPr>
        <w:ind w:left="588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8" w:tplc="C9FAF7CC">
      <w:start w:val="1"/>
      <w:numFmt w:val="lowerRoman"/>
      <w:lvlText w:val="%9"/>
      <w:lvlJc w:val="left"/>
      <w:pPr>
        <w:ind w:left="660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0390918"/>
    <w:multiLevelType w:val="hybridMultilevel"/>
    <w:tmpl w:val="19D8CA3E"/>
    <w:lvl w:ilvl="0" w:tplc="666C92D4">
      <w:start w:val="1"/>
      <w:numFmt w:val="decimal"/>
      <w:lvlText w:val="（%1）"/>
      <w:lvlJc w:val="left"/>
      <w:pPr>
        <w:ind w:left="1245"/>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6DB433BC">
      <w:start w:val="1"/>
      <w:numFmt w:val="lowerLetter"/>
      <w:lvlText w:val="%2"/>
      <w:lvlJc w:val="left"/>
      <w:pPr>
        <w:ind w:left="15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3A089C78">
      <w:start w:val="1"/>
      <w:numFmt w:val="lowerRoman"/>
      <w:lvlText w:val="%3"/>
      <w:lvlJc w:val="left"/>
      <w:pPr>
        <w:ind w:left="22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46360480">
      <w:start w:val="1"/>
      <w:numFmt w:val="decimal"/>
      <w:lvlText w:val="%4"/>
      <w:lvlJc w:val="left"/>
      <w:pPr>
        <w:ind w:left="30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1A989FB8">
      <w:start w:val="1"/>
      <w:numFmt w:val="lowerLetter"/>
      <w:lvlText w:val="%5"/>
      <w:lvlJc w:val="left"/>
      <w:pPr>
        <w:ind w:left="3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DBDABC2C">
      <w:start w:val="1"/>
      <w:numFmt w:val="lowerRoman"/>
      <w:lvlText w:val="%6"/>
      <w:lvlJc w:val="left"/>
      <w:pPr>
        <w:ind w:left="44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88A82BBC">
      <w:start w:val="1"/>
      <w:numFmt w:val="decimal"/>
      <w:lvlText w:val="%7"/>
      <w:lvlJc w:val="left"/>
      <w:pPr>
        <w:ind w:left="51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489634FC">
      <w:start w:val="1"/>
      <w:numFmt w:val="lowerLetter"/>
      <w:lvlText w:val="%8"/>
      <w:lvlJc w:val="left"/>
      <w:pPr>
        <w:ind w:left="58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052A9D68">
      <w:start w:val="1"/>
      <w:numFmt w:val="lowerRoman"/>
      <w:lvlText w:val="%9"/>
      <w:lvlJc w:val="left"/>
      <w:pPr>
        <w:ind w:left="6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CC97EE4"/>
    <w:multiLevelType w:val="hybridMultilevel"/>
    <w:tmpl w:val="9BF470BC"/>
    <w:lvl w:ilvl="0" w:tplc="5F12A2EA">
      <w:start w:val="1"/>
      <w:numFmt w:val="decimal"/>
      <w:lvlText w:val="%1."/>
      <w:lvlJc w:val="left"/>
      <w:pPr>
        <w:ind w:left="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1" w:tplc="9A0ADF64">
      <w:start w:val="1"/>
      <w:numFmt w:val="lowerLetter"/>
      <w:lvlText w:val="%2"/>
      <w:lvlJc w:val="left"/>
      <w:pPr>
        <w:ind w:left="156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2" w:tplc="ACAA73F8">
      <w:start w:val="1"/>
      <w:numFmt w:val="lowerRoman"/>
      <w:lvlText w:val="%3"/>
      <w:lvlJc w:val="left"/>
      <w:pPr>
        <w:ind w:left="228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3" w:tplc="4BB23D00">
      <w:start w:val="1"/>
      <w:numFmt w:val="decimal"/>
      <w:lvlText w:val="%4"/>
      <w:lvlJc w:val="left"/>
      <w:pPr>
        <w:ind w:left="300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4" w:tplc="7434509A">
      <w:start w:val="1"/>
      <w:numFmt w:val="lowerLetter"/>
      <w:lvlText w:val="%5"/>
      <w:lvlJc w:val="left"/>
      <w:pPr>
        <w:ind w:left="372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5" w:tplc="87927536">
      <w:start w:val="1"/>
      <w:numFmt w:val="lowerRoman"/>
      <w:lvlText w:val="%6"/>
      <w:lvlJc w:val="left"/>
      <w:pPr>
        <w:ind w:left="444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6" w:tplc="1B025C74">
      <w:start w:val="1"/>
      <w:numFmt w:val="decimal"/>
      <w:lvlText w:val="%7"/>
      <w:lvlJc w:val="left"/>
      <w:pPr>
        <w:ind w:left="516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7" w:tplc="2346BBEE">
      <w:start w:val="1"/>
      <w:numFmt w:val="lowerLetter"/>
      <w:lvlText w:val="%8"/>
      <w:lvlJc w:val="left"/>
      <w:pPr>
        <w:ind w:left="588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8" w:tplc="2FB6B9C4">
      <w:start w:val="1"/>
      <w:numFmt w:val="lowerRoman"/>
      <w:lvlText w:val="%9"/>
      <w:lvlJc w:val="left"/>
      <w:pPr>
        <w:ind w:left="660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52A"/>
    <w:rsid w:val="008A0F2E"/>
    <w:rsid w:val="00AC2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DE84E1-35F9-43FB-B224-342DD5CE8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06" w:line="259" w:lineRule="auto"/>
      <w:ind w:left="10" w:hanging="10"/>
    </w:pPr>
    <w:rPr>
      <w:rFonts w:ascii="宋体" w:eastAsia="宋体" w:hAnsi="宋体" w:cs="宋体"/>
      <w:color w:val="000000"/>
      <w:sz w:val="24"/>
    </w:rPr>
  </w:style>
  <w:style w:type="paragraph" w:styleId="1">
    <w:name w:val="heading 1"/>
    <w:next w:val="a"/>
    <w:link w:val="10"/>
    <w:uiPriority w:val="9"/>
    <w:unhideWhenUsed/>
    <w:qFormat/>
    <w:pPr>
      <w:keepNext/>
      <w:keepLines/>
      <w:spacing w:after="400" w:line="259" w:lineRule="auto"/>
      <w:ind w:left="10" w:hanging="10"/>
      <w:outlineLvl w:val="0"/>
    </w:pPr>
    <w:rPr>
      <w:rFonts w:ascii="黑体" w:eastAsia="黑体" w:hAnsi="黑体" w:cs="黑体"/>
      <w:color w:val="000000"/>
      <w:sz w:val="3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黑体" w:eastAsia="黑体" w:hAnsi="黑体" w:cs="黑体"/>
      <w:color w:val="000000"/>
      <w:sz w:val="3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387</Words>
  <Characters>2212</Characters>
  <Application>Microsoft Office Word</Application>
  <DocSecurity>0</DocSecurity>
  <Lines>18</Lines>
  <Paragraphs>5</Paragraphs>
  <ScaleCrop>false</ScaleCrop>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表9.1草稿-刘洋 - 修订</dc:title>
  <dc:subject/>
  <dc:creator>USER</dc:creator>
  <cp:keywords/>
  <cp:lastModifiedBy>USER</cp:lastModifiedBy>
  <cp:revision>2</cp:revision>
  <dcterms:created xsi:type="dcterms:W3CDTF">2019-04-11T11:24:00Z</dcterms:created>
  <dcterms:modified xsi:type="dcterms:W3CDTF">2019-04-11T11:24:00Z</dcterms:modified>
</cp:coreProperties>
</file>