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DBA" w:rsidRDefault="00D167C3">
      <w:pPr>
        <w:numPr>
          <w:ilvl w:val="0"/>
          <w:numId w:val="1"/>
        </w:numPr>
        <w:spacing w:after="171"/>
        <w:ind w:hanging="420"/>
      </w:pPr>
      <w:bookmarkStart w:id="0" w:name="_GoBack"/>
      <w:bookmarkEnd w:id="0"/>
      <w:r>
        <w:t>专业特色</w:t>
      </w:r>
    </w:p>
    <w:p w:rsidR="00B60DBA" w:rsidRDefault="00D167C3">
      <w:pPr>
        <w:spacing w:line="379" w:lineRule="auto"/>
        <w:ind w:left="-15" w:firstLine="480"/>
      </w:pPr>
      <w:r>
        <w:t>计算机科学与技术专业已走过</w:t>
      </w:r>
      <w:r>
        <w:t>18</w:t>
      </w:r>
      <w:r>
        <w:t>年历程，在实践中培育和凝练了如下特色：人才培养定位明晰、培养方案科学缜密、教学设施硬件完备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2</w:t>
      </w:r>
      <w:r>
        <w:rPr>
          <w:sz w:val="18"/>
          <w:vertAlign w:val="superscript"/>
        </w:rPr>
        <w:t>】</w:t>
      </w:r>
      <w:r>
        <w:t>、师资队伍结构合理、尤其是形成了</w:t>
      </w:r>
      <w:r>
        <w:t>“</w:t>
      </w:r>
      <w:r>
        <w:t>项目驱动促教学，学科竞赛强技能，校企合作重实践，就业引领育人才</w:t>
      </w:r>
      <w:r>
        <w:t>”</w:t>
      </w:r>
      <w:r>
        <w:t>的创新型人才培养模式，培养了一批又一批适应现代化建设和社会发展需要的计算机人才。</w:t>
      </w:r>
    </w:p>
    <w:p w:rsidR="00B60DBA" w:rsidRDefault="00D167C3">
      <w:pPr>
        <w:numPr>
          <w:ilvl w:val="0"/>
          <w:numId w:val="1"/>
        </w:numPr>
        <w:spacing w:after="173"/>
        <w:ind w:hanging="420"/>
      </w:pPr>
      <w:r>
        <w:t>实施过程与效果</w:t>
      </w:r>
    </w:p>
    <w:p w:rsidR="00B60DBA" w:rsidRDefault="00D167C3">
      <w:pPr>
        <w:pStyle w:val="1"/>
        <w:ind w:left="-5"/>
      </w:pPr>
      <w:r>
        <w:t>一、人才培养定位明晰、目标明确</w:t>
      </w:r>
    </w:p>
    <w:p w:rsidR="00B60DBA" w:rsidRDefault="00D167C3">
      <w:pPr>
        <w:spacing w:line="374" w:lineRule="auto"/>
        <w:ind w:left="-15" w:firstLine="480"/>
      </w:pPr>
      <w:r>
        <w:t>定位：实施普通本科教育，培养</w:t>
      </w:r>
      <w:r>
        <w:t>“</w:t>
      </w:r>
      <w:r>
        <w:t>善于动脑的蓝领和善于动手的白领</w:t>
      </w:r>
      <w:r>
        <w:t>——</w:t>
      </w:r>
      <w:r>
        <w:t>介于白领与蓝领之间的银领</w:t>
      </w:r>
      <w:r>
        <w:t>”</w:t>
      </w:r>
      <w:r>
        <w:t>。</w:t>
      </w:r>
    </w:p>
    <w:p w:rsidR="00B60DBA" w:rsidRDefault="00D167C3">
      <w:pPr>
        <w:spacing w:line="374" w:lineRule="auto"/>
        <w:ind w:left="-15" w:firstLine="480"/>
      </w:pPr>
      <w:r>
        <w:t>目标：培养具有</w:t>
      </w:r>
      <w:r>
        <w:t>“</w:t>
      </w:r>
      <w:r>
        <w:t>英语精、知识新、技能强、视野广</w:t>
      </w:r>
      <w:r>
        <w:t>”</w:t>
      </w:r>
      <w:r>
        <w:t>的国际化复合型应用人才。着力提高学生的创新精神、创业能力、实践能力；努力培养具有高度的社会责任心、世界公民意识、就业竞争优势与可持续发展基础，能够在企事业单位、政府机关、行政管理部门从事计算机技术硬件、软件开发、网络技术应用、计算机管理维护和计算机技术研究的应用型专门人才。</w:t>
      </w:r>
    </w:p>
    <w:p w:rsidR="00B60DBA" w:rsidRDefault="00D167C3">
      <w:pPr>
        <w:pStyle w:val="1"/>
        <w:ind w:left="-5"/>
      </w:pPr>
      <w:r>
        <w:t>二、培养方案接轨培养目标、科学缜密</w:t>
      </w:r>
    </w:p>
    <w:p w:rsidR="00B60DBA" w:rsidRDefault="00D167C3">
      <w:pPr>
        <w:spacing w:line="394" w:lineRule="auto"/>
        <w:ind w:left="-15" w:firstLine="480"/>
      </w:pPr>
      <w:r>
        <w:t>根据培养目标精心设计、构建专业人才培养方案。</w:t>
      </w:r>
      <w:r>
        <w:t xml:space="preserve"> </w:t>
      </w:r>
      <w:r>
        <w:t>按照</w:t>
      </w:r>
      <w:r>
        <w:t>“</w:t>
      </w:r>
      <w:r>
        <w:t>知识新广、强化能力和素质</w:t>
      </w:r>
      <w:r>
        <w:t>”</w:t>
      </w:r>
      <w:r>
        <w:t>的原则，优化课程体系；按照</w:t>
      </w:r>
      <w:r>
        <w:t xml:space="preserve"> “</w:t>
      </w:r>
      <w:r>
        <w:t>平台</w:t>
      </w:r>
      <w:r>
        <w:t>+</w:t>
      </w:r>
      <w:r>
        <w:t>模块</w:t>
      </w:r>
      <w:r>
        <w:t>+</w:t>
      </w:r>
      <w:r>
        <w:t>课程群</w:t>
      </w:r>
      <w:r>
        <w:t>”</w:t>
      </w:r>
      <w:r>
        <w:t>的模式构建课程体系；本着</w:t>
      </w:r>
      <w:r>
        <w:t>“</w:t>
      </w:r>
      <w:r>
        <w:t>厚基础、宽口径、</w:t>
      </w:r>
      <w:r>
        <w:t xml:space="preserve"> </w:t>
      </w:r>
      <w:r>
        <w:t>多课程、少课时、小学分</w:t>
      </w:r>
      <w:r>
        <w:t>”</w:t>
      </w:r>
      <w:r>
        <w:t>的原</w:t>
      </w:r>
      <w:r>
        <w:t>则进行课程设置。构建融合贯通、紧密配合、有机联系、科学合理、突出实用的课程体系。</w:t>
      </w:r>
    </w:p>
    <w:p w:rsidR="00B60DBA" w:rsidRDefault="00D167C3">
      <w:pPr>
        <w:spacing w:after="197"/>
        <w:ind w:left="-5"/>
      </w:pPr>
      <w:r>
        <w:t>按照</w:t>
      </w:r>
      <w:r>
        <w:t>“</w:t>
      </w:r>
      <w:r>
        <w:t>广、新、用</w:t>
      </w:r>
      <w:r>
        <w:t>”</w:t>
      </w:r>
      <w:r>
        <w:t>的原则，科学选择教学内容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1</w:t>
      </w:r>
      <w:r>
        <w:rPr>
          <w:sz w:val="18"/>
          <w:vertAlign w:val="superscript"/>
        </w:rPr>
        <w:t>】</w:t>
      </w:r>
      <w:r>
        <w:t>。</w:t>
      </w:r>
    </w:p>
    <w:p w:rsidR="00B60DBA" w:rsidRDefault="00D167C3">
      <w:pPr>
        <w:pStyle w:val="1"/>
        <w:ind w:left="-5"/>
      </w:pPr>
      <w:r>
        <w:t>三、改革教学方法与考试方法，开放实验室</w:t>
      </w:r>
      <w:r>
        <w:t>,</w:t>
      </w:r>
      <w:r>
        <w:t>加大应用实践力度</w:t>
      </w:r>
    </w:p>
    <w:p w:rsidR="00B60DBA" w:rsidRDefault="00D167C3">
      <w:pPr>
        <w:spacing w:after="150"/>
        <w:ind w:left="-5"/>
      </w:pPr>
      <w:r>
        <w:t>1</w:t>
      </w:r>
      <w:r>
        <w:t>、强化与完善项目驱动教学法在教学中的应用。</w:t>
      </w:r>
    </w:p>
    <w:p w:rsidR="00B60DBA" w:rsidRDefault="00D167C3">
      <w:pPr>
        <w:spacing w:after="136" w:line="359" w:lineRule="auto"/>
        <w:ind w:left="-15" w:firstLine="480"/>
      </w:pPr>
      <w:r>
        <w:t>教学中引入项目案例，把项目开发中用到的知识、技能、技术分解到每章每节，贯穿于教学的全过程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3</w:t>
      </w:r>
      <w:r>
        <w:rPr>
          <w:sz w:val="18"/>
          <w:vertAlign w:val="superscript"/>
        </w:rPr>
        <w:t>】</w:t>
      </w:r>
      <w:r>
        <w:t>，极大提高了学生对课程学习兴趣、增强了对课程知识在工程项目中应用的认识，提高了学生实践能力追求的目标，积累项目实践的</w:t>
      </w:r>
      <w:r>
        <w:lastRenderedPageBreak/>
        <w:t>经验，增强了学生就业能力</w:t>
      </w:r>
      <w:r>
        <w:rPr>
          <w:sz w:val="12"/>
        </w:rPr>
        <w:t>【</w:t>
      </w:r>
      <w:r>
        <w:rPr>
          <w:sz w:val="12"/>
        </w:rPr>
        <w:t>15</w:t>
      </w:r>
      <w:r>
        <w:rPr>
          <w:sz w:val="12"/>
        </w:rPr>
        <w:t>】</w:t>
      </w:r>
      <w:r>
        <w:t>，提高了教学质量</w:t>
      </w:r>
      <w:r>
        <w:rPr>
          <w:sz w:val="12"/>
        </w:rPr>
        <w:t>【</w:t>
      </w:r>
      <w:r>
        <w:rPr>
          <w:sz w:val="12"/>
        </w:rPr>
        <w:t>4</w:t>
      </w:r>
      <w:r>
        <w:rPr>
          <w:sz w:val="12"/>
        </w:rPr>
        <w:t>】【</w:t>
      </w:r>
      <w:r>
        <w:rPr>
          <w:sz w:val="12"/>
        </w:rPr>
        <w:t>6</w:t>
      </w:r>
      <w:r>
        <w:rPr>
          <w:sz w:val="12"/>
        </w:rPr>
        <w:t>】【</w:t>
      </w:r>
      <w:r>
        <w:rPr>
          <w:sz w:val="12"/>
        </w:rPr>
        <w:t>7</w:t>
      </w:r>
      <w:r>
        <w:rPr>
          <w:sz w:val="12"/>
        </w:rPr>
        <w:t>】【</w:t>
      </w:r>
      <w:r>
        <w:rPr>
          <w:sz w:val="12"/>
        </w:rPr>
        <w:t>8</w:t>
      </w:r>
      <w:r>
        <w:rPr>
          <w:sz w:val="12"/>
        </w:rPr>
        <w:t>】</w:t>
      </w:r>
      <w:r>
        <w:t>。</w:t>
      </w:r>
      <w:r>
        <w:t xml:space="preserve"> 2</w:t>
      </w:r>
      <w:r>
        <w:t>、组织学生参与项目开发与研究，提高学生实际动手能力。</w:t>
      </w:r>
    </w:p>
    <w:p w:rsidR="00B60DBA" w:rsidRDefault="00D167C3">
      <w:pPr>
        <w:spacing w:line="398" w:lineRule="auto"/>
        <w:ind w:left="-15" w:firstLine="480"/>
      </w:pPr>
      <w:r>
        <w:t>近几年，计科专业的老师共主持完成省级项目共</w:t>
      </w:r>
      <w:r>
        <w:t>7</w:t>
      </w:r>
      <w:r>
        <w:t>个、厅级项目</w:t>
      </w:r>
      <w:r>
        <w:t>1</w:t>
      </w:r>
      <w:r>
        <w:t>个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9</w:t>
      </w:r>
      <w:r>
        <w:rPr>
          <w:sz w:val="18"/>
          <w:vertAlign w:val="superscript"/>
        </w:rPr>
        <w:t>】</w:t>
      </w:r>
      <w:r>
        <w:t>、校级教革项目</w:t>
      </w:r>
      <w:r>
        <w:t>2</w:t>
      </w:r>
      <w:r>
        <w:t>个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10</w:t>
      </w:r>
      <w:r>
        <w:rPr>
          <w:sz w:val="18"/>
          <w:vertAlign w:val="superscript"/>
        </w:rPr>
        <w:t>】</w:t>
      </w:r>
      <w:r>
        <w:t>；在研省级项目</w:t>
      </w:r>
      <w:r>
        <w:t>3</w:t>
      </w:r>
      <w:r>
        <w:t>个、厅级项目</w:t>
      </w:r>
      <w:r>
        <w:t>3</w:t>
      </w:r>
      <w:r>
        <w:t>个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9</w:t>
      </w:r>
      <w:r>
        <w:rPr>
          <w:sz w:val="18"/>
          <w:vertAlign w:val="superscript"/>
        </w:rPr>
        <w:t>】</w:t>
      </w:r>
      <w:r>
        <w:t>、校级教革项目</w:t>
      </w:r>
      <w:r>
        <w:t xml:space="preserve">6 </w:t>
      </w:r>
      <w:r>
        <w:t>个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10</w:t>
      </w:r>
      <w:r>
        <w:rPr>
          <w:sz w:val="18"/>
          <w:vertAlign w:val="superscript"/>
        </w:rPr>
        <w:t>】</w:t>
      </w:r>
      <w:r>
        <w:t>。每个项目组织</w:t>
      </w:r>
      <w:r>
        <w:t>3</w:t>
      </w:r>
      <w:r>
        <w:t>～</w:t>
      </w:r>
      <w:r>
        <w:t>5</w:t>
      </w:r>
      <w:r>
        <w:t>名学生参与到项目开发的全过程。学生的参与，老师的传带，提高了学生的动手操作能力，</w:t>
      </w:r>
    </w:p>
    <w:p w:rsidR="00B60DBA" w:rsidRDefault="00D167C3">
      <w:pPr>
        <w:numPr>
          <w:ilvl w:val="0"/>
          <w:numId w:val="2"/>
        </w:numPr>
        <w:spacing w:after="150"/>
        <w:ind w:hanging="360"/>
      </w:pPr>
      <w:r>
        <w:t>实验室向学生开放，为了学生搞科研做项目提供条件保障。</w:t>
      </w:r>
    </w:p>
    <w:p w:rsidR="00B60DBA" w:rsidRDefault="00D167C3">
      <w:pPr>
        <w:spacing w:after="86" w:line="360" w:lineRule="auto"/>
        <w:ind w:left="-15" w:firstLine="480"/>
      </w:pPr>
      <w:r>
        <w:t>让学生在开放的实验室里更好地完成自己申报的创新性实验项目。通过做项目使学生建立起科研的意识，培养了学生的科研能力。</w:t>
      </w:r>
      <w:r>
        <w:t>近几年来学生主持完成创新性实验项目共</w:t>
      </w:r>
      <w:r>
        <w:t>8</w:t>
      </w:r>
      <w:r>
        <w:t>个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4</w:t>
      </w:r>
      <w:r>
        <w:rPr>
          <w:sz w:val="18"/>
          <w:vertAlign w:val="superscript"/>
        </w:rPr>
        <w:t>】</w:t>
      </w:r>
      <w:r>
        <w:t>。</w:t>
      </w:r>
    </w:p>
    <w:p w:rsidR="00B60DBA" w:rsidRDefault="00D167C3">
      <w:pPr>
        <w:numPr>
          <w:ilvl w:val="0"/>
          <w:numId w:val="2"/>
        </w:numPr>
        <w:spacing w:after="152"/>
        <w:ind w:hanging="360"/>
      </w:pPr>
      <w:r>
        <w:t>改革考试形式与方法</w:t>
      </w:r>
    </w:p>
    <w:p w:rsidR="00B60DBA" w:rsidRDefault="00D167C3">
      <w:pPr>
        <w:spacing w:after="70" w:line="375" w:lineRule="auto"/>
        <w:ind w:left="-15" w:firstLine="480"/>
      </w:pPr>
      <w:r>
        <w:t>考试形式与考试方法的改革是教学改革的一个重要方面。近几年主要采取：</w:t>
      </w:r>
      <w:r>
        <w:t xml:space="preserve"> ⑴ </w:t>
      </w:r>
      <w:r>
        <w:t>建设试题库，采用在线考试系统考试；</w:t>
      </w:r>
      <w:r>
        <w:t xml:space="preserve">⑵ </w:t>
      </w:r>
      <w:r>
        <w:t>提前布置，期终学生提交一个完成的项目；</w:t>
      </w:r>
      <w:r>
        <w:t xml:space="preserve">⑶ </w:t>
      </w:r>
      <w:r>
        <w:t>学生自主设计一幅作品，老师根据作品的完成情况确定分数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16</w:t>
      </w:r>
      <w:r>
        <w:rPr>
          <w:sz w:val="18"/>
          <w:vertAlign w:val="superscript"/>
        </w:rPr>
        <w:t>】</w:t>
      </w:r>
      <w:r>
        <w:t>。</w:t>
      </w:r>
    </w:p>
    <w:p w:rsidR="00B60DBA" w:rsidRDefault="00D167C3">
      <w:pPr>
        <w:spacing w:after="150"/>
        <w:ind w:left="-5"/>
      </w:pPr>
      <w:r>
        <w:t>四、积极组建专业工作室，推动学科竞赛，促进学风好转</w:t>
      </w:r>
    </w:p>
    <w:p w:rsidR="00B60DBA" w:rsidRDefault="00D167C3">
      <w:pPr>
        <w:spacing w:after="147"/>
        <w:ind w:right="14"/>
        <w:jc w:val="right"/>
      </w:pPr>
      <w:r>
        <w:t>为了促进学风好转与备战学科竞赛，组建：</w:t>
      </w:r>
      <w:r>
        <w:t>⑴“</w:t>
      </w:r>
      <w:r>
        <w:t>网维</w:t>
      </w:r>
      <w:r>
        <w:t>”</w:t>
      </w:r>
      <w:r>
        <w:t>；</w:t>
      </w:r>
      <w:r>
        <w:t>⑵“</w:t>
      </w:r>
      <w:r>
        <w:t>起点</w:t>
      </w:r>
      <w:r>
        <w:t>”</w:t>
      </w:r>
      <w:r>
        <w:t>；</w:t>
      </w:r>
      <w:r>
        <w:t>⑶“Nice”</w:t>
      </w:r>
      <w:r>
        <w:t>；</w:t>
      </w:r>
    </w:p>
    <w:p w:rsidR="00B60DBA" w:rsidRDefault="00D167C3">
      <w:pPr>
        <w:spacing w:line="388" w:lineRule="auto"/>
        <w:ind w:left="-5"/>
      </w:pPr>
      <w:r>
        <w:t>⑷ “</w:t>
      </w:r>
      <w:r>
        <w:t>强人</w:t>
      </w:r>
      <w:r>
        <w:t>”</w:t>
      </w:r>
      <w:r>
        <w:t>；</w:t>
      </w:r>
      <w:r>
        <w:t>⑸“</w:t>
      </w:r>
      <w:r>
        <w:t>励志</w:t>
      </w:r>
      <w:r>
        <w:t>”</w:t>
      </w:r>
      <w:r>
        <w:t>五个学生创新专业工作室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5</w:t>
      </w:r>
      <w:r>
        <w:rPr>
          <w:sz w:val="18"/>
          <w:vertAlign w:val="superscript"/>
        </w:rPr>
        <w:t>】</w:t>
      </w:r>
      <w:r>
        <w:t>，组织更多的学生参加到工作室中。一方面，工</w:t>
      </w:r>
      <w:r>
        <w:t>作室的学生通过交流、探究、做项目，拓展学生工程意识、加强学生创新能力培养，同时通过这些学生的带动，促使学风好转；另一方面，这些学生做为各种学科竞赛的参赛选手。</w:t>
      </w:r>
    </w:p>
    <w:p w:rsidR="00B60DBA" w:rsidRDefault="00D167C3">
      <w:pPr>
        <w:spacing w:line="372" w:lineRule="auto"/>
        <w:ind w:left="-15" w:firstLine="480"/>
      </w:pPr>
      <w:r>
        <w:t>近几年来，学生每年参加：</w:t>
      </w:r>
      <w:r>
        <w:t>ACM</w:t>
      </w:r>
      <w:r>
        <w:t>程序大赛、物联网设计大赛、机器人仿真大赛、中国大学生计算机设计大赛、数学建模大赛等，获国家级竞赛奖励</w:t>
      </w:r>
      <w:r>
        <w:t>5</w:t>
      </w:r>
      <w:r>
        <w:t>项（其中一等奖</w:t>
      </w:r>
      <w:r>
        <w:t>1</w:t>
      </w:r>
      <w:r>
        <w:t>项，二等奖</w:t>
      </w:r>
      <w:r>
        <w:t>3</w:t>
      </w:r>
      <w:r>
        <w:t>项，三等奖</w:t>
      </w:r>
      <w:r>
        <w:t>1</w:t>
      </w:r>
      <w:r>
        <w:t>项）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7</w:t>
      </w:r>
      <w:r>
        <w:rPr>
          <w:sz w:val="18"/>
          <w:vertAlign w:val="superscript"/>
        </w:rPr>
        <w:t>】</w:t>
      </w:r>
      <w:r>
        <w:t>，获省级奖励</w:t>
      </w:r>
      <w:r>
        <w:t xml:space="preserve"> 21</w:t>
      </w:r>
      <w:r>
        <w:t>项（一等奖</w:t>
      </w:r>
      <w:r>
        <w:t>3</w:t>
      </w:r>
    </w:p>
    <w:p w:rsidR="00B60DBA" w:rsidRDefault="00D167C3">
      <w:pPr>
        <w:spacing w:after="235"/>
        <w:ind w:left="-5"/>
      </w:pPr>
      <w:r>
        <w:t>项，二等奖</w:t>
      </w:r>
      <w:r>
        <w:t>3</w:t>
      </w:r>
      <w:r>
        <w:t>项，三等奖</w:t>
      </w:r>
      <w:r>
        <w:t>15</w:t>
      </w:r>
      <w:r>
        <w:t>项）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8</w:t>
      </w:r>
      <w:r>
        <w:rPr>
          <w:sz w:val="18"/>
          <w:vertAlign w:val="superscript"/>
        </w:rPr>
        <w:t>】</w:t>
      </w:r>
      <w:r>
        <w:t>，工作室的学生开发项目</w:t>
      </w:r>
      <w:r>
        <w:t xml:space="preserve"> 10</w:t>
      </w:r>
      <w:r>
        <w:t>个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6</w:t>
      </w:r>
      <w:r>
        <w:rPr>
          <w:sz w:val="18"/>
          <w:vertAlign w:val="superscript"/>
        </w:rPr>
        <w:t>】</w:t>
      </w:r>
      <w:r>
        <w:rPr>
          <w:sz w:val="18"/>
          <w:vertAlign w:val="superscript"/>
        </w:rPr>
        <w:t xml:space="preserve"> </w:t>
      </w:r>
      <w:r>
        <w:t>。</w:t>
      </w:r>
    </w:p>
    <w:p w:rsidR="00B60DBA" w:rsidRDefault="00D167C3">
      <w:pPr>
        <w:numPr>
          <w:ilvl w:val="0"/>
          <w:numId w:val="3"/>
        </w:numPr>
        <w:spacing w:after="150"/>
        <w:ind w:hanging="482"/>
      </w:pPr>
      <w:r>
        <w:t>建立校企联合培养模式，提高学生就业的核心竞争力</w:t>
      </w:r>
    </w:p>
    <w:p w:rsidR="00B60DBA" w:rsidRDefault="00D167C3">
      <w:pPr>
        <w:spacing w:after="147"/>
        <w:ind w:right="14"/>
        <w:jc w:val="right"/>
      </w:pPr>
      <w:r>
        <w:t>较强的技能是</w:t>
      </w:r>
      <w:r>
        <w:t>学生就业的核心竞争力的关键。近几年我系与北京百知教育、</w:t>
      </w:r>
    </w:p>
    <w:p w:rsidR="00B60DBA" w:rsidRDefault="00D167C3">
      <w:pPr>
        <w:spacing w:after="159" w:line="341" w:lineRule="auto"/>
        <w:ind w:left="-5"/>
      </w:pPr>
      <w:r>
        <w:lastRenderedPageBreak/>
        <w:t>河南智游公司、河南新互联</w:t>
      </w:r>
      <w:r>
        <w:t>IT</w:t>
      </w:r>
      <w:r>
        <w:t>学院等进行合作，建立联合培养、产学研基地</w:t>
      </w:r>
      <w:r>
        <w:t xml:space="preserve">3 </w:t>
      </w:r>
      <w:r>
        <w:t>个</w:t>
      </w:r>
      <w:r>
        <w:rPr>
          <w:sz w:val="12"/>
        </w:rPr>
        <w:t>【</w:t>
      </w:r>
      <w:r>
        <w:rPr>
          <w:sz w:val="12"/>
        </w:rPr>
        <w:t>11</w:t>
      </w:r>
      <w:r>
        <w:rPr>
          <w:sz w:val="12"/>
        </w:rPr>
        <w:t>】</w:t>
      </w:r>
      <w:r>
        <w:t>，学生实习基地</w:t>
      </w:r>
      <w:r>
        <w:t xml:space="preserve"> 11</w:t>
      </w:r>
      <w:r>
        <w:t>个</w:t>
      </w:r>
      <w:r>
        <w:rPr>
          <w:sz w:val="12"/>
        </w:rPr>
        <w:t>【</w:t>
      </w:r>
      <w:r>
        <w:rPr>
          <w:sz w:val="12"/>
        </w:rPr>
        <w:t>12</w:t>
      </w:r>
      <w:r>
        <w:rPr>
          <w:sz w:val="12"/>
        </w:rPr>
        <w:t>】</w:t>
      </w:r>
      <w:r>
        <w:t>。</w:t>
      </w:r>
    </w:p>
    <w:p w:rsidR="00B60DBA" w:rsidRDefault="00D167C3">
      <w:pPr>
        <w:spacing w:after="0" w:line="386" w:lineRule="auto"/>
        <w:ind w:right="122"/>
        <w:jc w:val="right"/>
      </w:pPr>
      <w:r>
        <w:t>理论教学学校是强项，实践操作、技能培训、项目开发则是企业的强项。校企联合培养，是强强联合、优势互补，能极大地提高学生就业的核心竞争力。近几年校企联合授课</w:t>
      </w:r>
      <w:r>
        <w:t>3</w:t>
      </w:r>
      <w:r>
        <w:t>门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13</w:t>
      </w:r>
      <w:r>
        <w:rPr>
          <w:sz w:val="18"/>
          <w:vertAlign w:val="superscript"/>
        </w:rPr>
        <w:t>】</w:t>
      </w:r>
      <w:r>
        <w:t>，共建苹果、嵌入式实验室</w:t>
      </w:r>
      <w:r>
        <w:t>2</w:t>
      </w:r>
      <w:r>
        <w:t>个</w:t>
      </w:r>
      <w:r>
        <w:rPr>
          <w:sz w:val="18"/>
          <w:vertAlign w:val="superscript"/>
        </w:rPr>
        <w:t>【</w:t>
      </w:r>
      <w:r>
        <w:rPr>
          <w:sz w:val="18"/>
          <w:vertAlign w:val="superscript"/>
        </w:rPr>
        <w:t>14</w:t>
      </w:r>
      <w:r>
        <w:rPr>
          <w:sz w:val="18"/>
          <w:vertAlign w:val="superscript"/>
        </w:rPr>
        <w:t>】</w:t>
      </w:r>
      <w:r>
        <w:t>，联合实习</w:t>
      </w:r>
      <w:r>
        <w:t xml:space="preserve">584 </w:t>
      </w:r>
      <w:r>
        <w:t>人。</w:t>
      </w:r>
    </w:p>
    <w:p w:rsidR="00B60DBA" w:rsidRDefault="00D167C3">
      <w:pPr>
        <w:numPr>
          <w:ilvl w:val="0"/>
          <w:numId w:val="3"/>
        </w:numPr>
        <w:spacing w:after="150"/>
        <w:ind w:hanging="482"/>
      </w:pPr>
      <w:r>
        <w:t>市场需求设专业，就业引领育人才</w:t>
      </w:r>
    </w:p>
    <w:p w:rsidR="00B60DBA" w:rsidRDefault="00D167C3">
      <w:pPr>
        <w:spacing w:line="374" w:lineRule="auto"/>
        <w:ind w:left="-15" w:firstLine="480"/>
      </w:pPr>
      <w:r>
        <w:t>2012</w:t>
      </w:r>
      <w:r>
        <w:t>年根据市场的需求与就业形势，与时俱进，除计算机科学与技术（网络技术方向）外，</w:t>
      </w:r>
      <w:r>
        <w:t>我系增设了</w:t>
      </w:r>
      <w:r>
        <w:t>“</w:t>
      </w:r>
      <w:r>
        <w:t>物联网方向</w:t>
      </w:r>
      <w:r>
        <w:t>”</w:t>
      </w:r>
      <w:r>
        <w:t>、</w:t>
      </w:r>
      <w:r>
        <w:t>“</w:t>
      </w:r>
      <w:r>
        <w:t>信息安全方向</w:t>
      </w:r>
      <w:r>
        <w:t>”</w:t>
      </w:r>
      <w:r>
        <w:t>、</w:t>
      </w:r>
      <w:r>
        <w:t>“</w:t>
      </w:r>
      <w:r>
        <w:t>嵌入式软件方向</w:t>
      </w:r>
      <w:r>
        <w:t>”</w:t>
      </w:r>
      <w:r>
        <w:t>，为市场培养不同的专业人才。</w:t>
      </w:r>
    </w:p>
    <w:p w:rsidR="00B60DBA" w:rsidRDefault="00D167C3">
      <w:pPr>
        <w:spacing w:after="147"/>
        <w:ind w:right="14"/>
        <w:jc w:val="right"/>
      </w:pPr>
      <w:r>
        <w:t>（注：由于物联网、信息安全两个方向因名称原因，不能按专业方向招生，</w:t>
      </w:r>
    </w:p>
    <w:p w:rsidR="00B60DBA" w:rsidRDefault="00D167C3">
      <w:pPr>
        <w:spacing w:after="128"/>
        <w:ind w:left="-5"/>
      </w:pPr>
      <w:r>
        <w:t>今年已停招，不参加评估，而嵌入式软件方向经请示，仅给出培养方案）</w:t>
      </w:r>
    </w:p>
    <w:p w:rsidR="00B60DBA" w:rsidRDefault="00D167C3">
      <w:pPr>
        <w:spacing w:after="175"/>
        <w:ind w:left="-5"/>
      </w:pPr>
      <w:r>
        <w:rPr>
          <w:sz w:val="21"/>
        </w:rPr>
        <w:t>附：</w:t>
      </w:r>
      <w:r>
        <w:rPr>
          <w:rFonts w:ascii="宋体" w:eastAsia="宋体" w:hAnsi="宋体" w:cs="宋体"/>
          <w:sz w:val="21"/>
        </w:rPr>
        <w:t>专业特色支撑材料清单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</w:t>
      </w:r>
      <w:r>
        <w:rPr>
          <w:rFonts w:ascii="宋体" w:eastAsia="宋体" w:hAnsi="宋体" w:cs="宋体"/>
          <w:sz w:val="21"/>
        </w:rPr>
        <w:t>】计算机科学与技术（网络技术方向、嵌入式软件方向）专业人才培养方案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2</w:t>
      </w:r>
      <w:r>
        <w:rPr>
          <w:rFonts w:ascii="宋体" w:eastAsia="宋体" w:hAnsi="宋体" w:cs="宋体"/>
          <w:sz w:val="21"/>
        </w:rPr>
        <w:t>】计科专业实验室清单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3</w:t>
      </w:r>
      <w:r>
        <w:rPr>
          <w:rFonts w:ascii="宋体" w:eastAsia="宋体" w:hAnsi="宋体" w:cs="宋体"/>
          <w:sz w:val="21"/>
        </w:rPr>
        <w:t>】项目驱动教学法实施及案例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4</w:t>
      </w:r>
      <w:r>
        <w:rPr>
          <w:rFonts w:ascii="宋体" w:eastAsia="宋体" w:hAnsi="宋体" w:cs="宋体"/>
          <w:sz w:val="21"/>
        </w:rPr>
        <w:t>】本专业学生主持大学生创新创业项目清单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5</w:t>
      </w:r>
      <w:r>
        <w:rPr>
          <w:rFonts w:ascii="宋体" w:eastAsia="宋体" w:hAnsi="宋体" w:cs="宋体"/>
          <w:sz w:val="21"/>
        </w:rPr>
        <w:t>】本专业大学生创新专业工作室清单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6</w:t>
      </w:r>
      <w:r>
        <w:rPr>
          <w:rFonts w:ascii="宋体" w:eastAsia="宋体" w:hAnsi="宋体" w:cs="宋体"/>
          <w:sz w:val="21"/>
        </w:rPr>
        <w:t>】创新专业工作室学生做项目清单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7</w:t>
      </w:r>
      <w:r>
        <w:rPr>
          <w:rFonts w:ascii="宋体" w:eastAsia="宋体" w:hAnsi="宋体" w:cs="宋体"/>
          <w:sz w:val="21"/>
        </w:rPr>
        <w:t>】本专业学生获国家级竞赛奖励清单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8</w:t>
      </w:r>
      <w:r>
        <w:rPr>
          <w:rFonts w:ascii="宋体" w:eastAsia="宋体" w:hAnsi="宋体" w:cs="宋体"/>
          <w:sz w:val="21"/>
        </w:rPr>
        <w:t>】本专业学生获省级竞赛奖励清单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9</w:t>
      </w:r>
      <w:r>
        <w:rPr>
          <w:rFonts w:ascii="宋体" w:eastAsia="宋体" w:hAnsi="宋体" w:cs="宋体"/>
          <w:sz w:val="21"/>
        </w:rPr>
        <w:t>】本专业教师主持省、厅级科研项目清单（包括完成与在研）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10</w:t>
      </w:r>
      <w:r>
        <w:rPr>
          <w:rFonts w:ascii="宋体" w:eastAsia="宋体" w:hAnsi="宋体" w:cs="宋体"/>
          <w:sz w:val="21"/>
        </w:rPr>
        <w:t>】本专业教师主持校级教育教学改革项目清单（包括完成与在研）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11</w:t>
      </w:r>
      <w:r>
        <w:rPr>
          <w:rFonts w:ascii="宋体" w:eastAsia="宋体" w:hAnsi="宋体" w:cs="宋体"/>
          <w:sz w:val="21"/>
        </w:rPr>
        <w:t>】校企联合培养、产学研基地清单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12</w:t>
      </w:r>
      <w:r>
        <w:rPr>
          <w:rFonts w:ascii="宋体" w:eastAsia="宋体" w:hAnsi="宋体" w:cs="宋体"/>
          <w:sz w:val="21"/>
        </w:rPr>
        <w:t>】校企实习、实训基地清单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13</w:t>
      </w:r>
      <w:r>
        <w:rPr>
          <w:rFonts w:ascii="宋体" w:eastAsia="宋体" w:hAnsi="宋体" w:cs="宋体"/>
          <w:sz w:val="21"/>
        </w:rPr>
        <w:t>】校企联合授课材料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14</w:t>
      </w:r>
      <w:r>
        <w:rPr>
          <w:rFonts w:ascii="宋体" w:eastAsia="宋体" w:hAnsi="宋体" w:cs="宋体"/>
          <w:sz w:val="21"/>
        </w:rPr>
        <w:t>】校企共建苹果、嵌入式实验室材料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lastRenderedPageBreak/>
        <w:t>【</w:t>
      </w:r>
      <w:r>
        <w:rPr>
          <w:rFonts w:ascii="Calibri" w:eastAsia="Calibri" w:hAnsi="Calibri" w:cs="Calibri"/>
          <w:sz w:val="21"/>
        </w:rPr>
        <w:t>15</w:t>
      </w:r>
      <w:r>
        <w:rPr>
          <w:rFonts w:ascii="宋体" w:eastAsia="宋体" w:hAnsi="宋体" w:cs="宋体"/>
          <w:sz w:val="21"/>
        </w:rPr>
        <w:t>】近几年学生就业率与就业去向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16</w:t>
      </w:r>
      <w:r>
        <w:rPr>
          <w:rFonts w:ascii="宋体" w:eastAsia="宋体" w:hAnsi="宋体" w:cs="宋体"/>
          <w:sz w:val="21"/>
        </w:rPr>
        <w:t>】本专业考试方法与形式改革材料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17</w:t>
      </w:r>
      <w:r>
        <w:rPr>
          <w:rFonts w:ascii="宋体" w:eastAsia="宋体" w:hAnsi="宋体" w:cs="宋体"/>
          <w:sz w:val="21"/>
        </w:rPr>
        <w:t>】本专业学生获全额奖学金赴美留学材料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18</w:t>
      </w:r>
      <w:r>
        <w:rPr>
          <w:rFonts w:ascii="宋体" w:eastAsia="宋体" w:hAnsi="宋体" w:cs="宋体"/>
          <w:sz w:val="21"/>
        </w:rPr>
        <w:t>】张善文等老师专利清单</w:t>
      </w:r>
    </w:p>
    <w:p w:rsidR="00B60DBA" w:rsidRDefault="00D167C3">
      <w:pPr>
        <w:spacing w:after="198"/>
        <w:ind w:left="-5"/>
      </w:pPr>
      <w:r>
        <w:rPr>
          <w:rFonts w:ascii="宋体" w:eastAsia="宋体" w:hAnsi="宋体" w:cs="宋体"/>
          <w:sz w:val="21"/>
        </w:rPr>
        <w:t>【</w:t>
      </w:r>
      <w:r>
        <w:rPr>
          <w:rFonts w:ascii="Calibri" w:eastAsia="Calibri" w:hAnsi="Calibri" w:cs="Calibri"/>
          <w:sz w:val="21"/>
        </w:rPr>
        <w:t>19</w:t>
      </w:r>
      <w:r>
        <w:rPr>
          <w:rFonts w:ascii="宋体" w:eastAsia="宋体" w:hAnsi="宋体" w:cs="宋体"/>
          <w:sz w:val="21"/>
        </w:rPr>
        <w:t>】本专业与德国杜伊斯堡大学</w:t>
      </w:r>
      <w:r>
        <w:rPr>
          <w:rFonts w:ascii="宋体" w:eastAsia="宋体" w:hAnsi="宋体" w:cs="宋体"/>
          <w:sz w:val="21"/>
        </w:rPr>
        <w:t>合作办学材料</w:t>
      </w:r>
    </w:p>
    <w:sectPr w:rsidR="00B60DBA">
      <w:footerReference w:type="even" r:id="rId7"/>
      <w:footerReference w:type="default" r:id="rId8"/>
      <w:footerReference w:type="first" r:id="rId9"/>
      <w:pgSz w:w="11906" w:h="16838"/>
      <w:pgMar w:top="1562" w:right="1677" w:bottom="1780" w:left="1800" w:header="72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167C3">
      <w:pPr>
        <w:spacing w:after="0" w:line="240" w:lineRule="auto"/>
      </w:pPr>
      <w:r>
        <w:separator/>
      </w:r>
    </w:p>
  </w:endnote>
  <w:endnote w:type="continuationSeparator" w:id="0">
    <w:p w:rsidR="00000000" w:rsidRDefault="00D1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DBA" w:rsidRDefault="00D167C3">
    <w:pPr>
      <w:spacing w:after="0"/>
      <w:ind w:left="0" w:right="122" w:firstLine="0"/>
      <w:jc w:val="center"/>
    </w:pPr>
    <w:r>
      <w:rPr>
        <w:rFonts w:ascii="宋体" w:eastAsia="宋体" w:hAnsi="宋体" w:cs="宋体"/>
        <w:sz w:val="18"/>
      </w:rPr>
      <w:t>第</w:t>
    </w:r>
    <w:r>
      <w:rPr>
        <w:rFonts w:ascii="宋体" w:eastAsia="宋体" w:hAnsi="宋体" w:cs="宋体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  <w:r>
      <w:rPr>
        <w:rFonts w:ascii="宋体" w:eastAsia="宋体" w:hAnsi="宋体" w:cs="宋体"/>
        <w:sz w:val="18"/>
      </w:rPr>
      <w:t>页共</w:t>
    </w:r>
    <w:r>
      <w:rPr>
        <w:rFonts w:ascii="宋体" w:eastAsia="宋体" w:hAnsi="宋体" w:cs="宋体"/>
        <w:sz w:val="18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18"/>
      </w:rPr>
      <w:t>3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  <w:r>
      <w:rPr>
        <w:rFonts w:ascii="宋体" w:eastAsia="宋体" w:hAnsi="宋体" w:cs="宋体"/>
        <w:sz w:val="18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DBA" w:rsidRDefault="00D167C3">
    <w:pPr>
      <w:spacing w:after="0"/>
      <w:ind w:left="0" w:right="122" w:firstLine="0"/>
      <w:jc w:val="center"/>
    </w:pPr>
    <w:r>
      <w:rPr>
        <w:rFonts w:ascii="宋体" w:eastAsia="宋体" w:hAnsi="宋体" w:cs="宋体"/>
        <w:sz w:val="18"/>
      </w:rPr>
      <w:t>第</w:t>
    </w:r>
    <w:r>
      <w:rPr>
        <w:rFonts w:ascii="宋体" w:eastAsia="宋体" w:hAnsi="宋体" w:cs="宋体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D167C3">
      <w:rPr>
        <w:rFonts w:ascii="Calibri" w:eastAsia="Calibri" w:hAnsi="Calibri" w:cs="Calibri"/>
        <w:noProof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  <w:r>
      <w:rPr>
        <w:rFonts w:ascii="宋体" w:eastAsia="宋体" w:hAnsi="宋体" w:cs="宋体"/>
        <w:sz w:val="18"/>
      </w:rPr>
      <w:t>页共</w:t>
    </w:r>
    <w:r>
      <w:rPr>
        <w:rFonts w:ascii="宋体" w:eastAsia="宋体" w:hAnsi="宋体" w:cs="宋体"/>
        <w:sz w:val="18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Pr="00D167C3">
      <w:rPr>
        <w:rFonts w:ascii="Calibri" w:eastAsia="Calibri" w:hAnsi="Calibri" w:cs="Calibri"/>
        <w:noProof/>
        <w:sz w:val="18"/>
      </w:rPr>
      <w:t>4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  <w:r>
      <w:rPr>
        <w:rFonts w:ascii="宋体" w:eastAsia="宋体" w:hAnsi="宋体" w:cs="宋体"/>
        <w:sz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DBA" w:rsidRDefault="00D167C3">
    <w:pPr>
      <w:spacing w:after="0"/>
      <w:ind w:left="0" w:right="122" w:firstLine="0"/>
      <w:jc w:val="center"/>
    </w:pPr>
    <w:r>
      <w:rPr>
        <w:rFonts w:ascii="宋体" w:eastAsia="宋体" w:hAnsi="宋体" w:cs="宋体"/>
        <w:sz w:val="18"/>
      </w:rPr>
      <w:t>第</w:t>
    </w:r>
    <w:r>
      <w:rPr>
        <w:rFonts w:ascii="宋体" w:eastAsia="宋体" w:hAnsi="宋体" w:cs="宋体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  <w:r>
      <w:rPr>
        <w:rFonts w:ascii="宋体" w:eastAsia="宋体" w:hAnsi="宋体" w:cs="宋体"/>
        <w:sz w:val="18"/>
      </w:rPr>
      <w:t>页共</w:t>
    </w:r>
    <w:r>
      <w:rPr>
        <w:rFonts w:ascii="宋体" w:eastAsia="宋体" w:hAnsi="宋体" w:cs="宋体"/>
        <w:sz w:val="18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18"/>
      </w:rPr>
      <w:t>3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  <w:r>
      <w:rPr>
        <w:rFonts w:ascii="宋体" w:eastAsia="宋体" w:hAnsi="宋体" w:cs="宋体"/>
        <w:sz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167C3">
      <w:pPr>
        <w:spacing w:after="0" w:line="240" w:lineRule="auto"/>
      </w:pPr>
      <w:r>
        <w:separator/>
      </w:r>
    </w:p>
  </w:footnote>
  <w:footnote w:type="continuationSeparator" w:id="0">
    <w:p w:rsidR="00000000" w:rsidRDefault="00D16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827"/>
    <w:multiLevelType w:val="hybridMultilevel"/>
    <w:tmpl w:val="DC6A87EA"/>
    <w:lvl w:ilvl="0" w:tplc="AFC24B0E">
      <w:start w:val="5"/>
      <w:numFmt w:val="ideographDigital"/>
      <w:lvlText w:val="%1、"/>
      <w:lvlJc w:val="left"/>
      <w:pPr>
        <w:ind w:left="535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48956">
      <w:start w:val="1"/>
      <w:numFmt w:val="lowerLetter"/>
      <w:lvlText w:val="%2"/>
      <w:lvlJc w:val="left"/>
      <w:pPr>
        <w:ind w:left="11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846F2">
      <w:start w:val="1"/>
      <w:numFmt w:val="lowerRoman"/>
      <w:lvlText w:val="%3"/>
      <w:lvlJc w:val="left"/>
      <w:pPr>
        <w:ind w:left="18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8AF8E">
      <w:start w:val="1"/>
      <w:numFmt w:val="decimal"/>
      <w:lvlText w:val="%4"/>
      <w:lvlJc w:val="left"/>
      <w:pPr>
        <w:ind w:left="25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8EF94">
      <w:start w:val="1"/>
      <w:numFmt w:val="lowerLetter"/>
      <w:lvlText w:val="%5"/>
      <w:lvlJc w:val="left"/>
      <w:pPr>
        <w:ind w:left="33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461728">
      <w:start w:val="1"/>
      <w:numFmt w:val="lowerRoman"/>
      <w:lvlText w:val="%6"/>
      <w:lvlJc w:val="left"/>
      <w:pPr>
        <w:ind w:left="40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6C90BA">
      <w:start w:val="1"/>
      <w:numFmt w:val="decimal"/>
      <w:lvlText w:val="%7"/>
      <w:lvlJc w:val="left"/>
      <w:pPr>
        <w:ind w:left="47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43438">
      <w:start w:val="1"/>
      <w:numFmt w:val="lowerLetter"/>
      <w:lvlText w:val="%8"/>
      <w:lvlJc w:val="left"/>
      <w:pPr>
        <w:ind w:left="54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0B1A6">
      <w:start w:val="1"/>
      <w:numFmt w:val="lowerRoman"/>
      <w:lvlText w:val="%9"/>
      <w:lvlJc w:val="left"/>
      <w:pPr>
        <w:ind w:left="61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AB6F9C"/>
    <w:multiLevelType w:val="hybridMultilevel"/>
    <w:tmpl w:val="1834025E"/>
    <w:lvl w:ilvl="0" w:tplc="119C1508">
      <w:start w:val="3"/>
      <w:numFmt w:val="decimal"/>
      <w:lvlText w:val="%1、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88DFC6">
      <w:start w:val="1"/>
      <w:numFmt w:val="lowerLetter"/>
      <w:lvlText w:val="%2"/>
      <w:lvlJc w:val="left"/>
      <w:pPr>
        <w:ind w:left="1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2C2902">
      <w:start w:val="1"/>
      <w:numFmt w:val="lowerRoman"/>
      <w:lvlText w:val="%3"/>
      <w:lvlJc w:val="left"/>
      <w:pPr>
        <w:ind w:left="1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826962">
      <w:start w:val="1"/>
      <w:numFmt w:val="decimal"/>
      <w:lvlText w:val="%4"/>
      <w:lvlJc w:val="left"/>
      <w:pPr>
        <w:ind w:left="2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723C9A">
      <w:start w:val="1"/>
      <w:numFmt w:val="lowerLetter"/>
      <w:lvlText w:val="%5"/>
      <w:lvlJc w:val="left"/>
      <w:pPr>
        <w:ind w:left="32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E2878">
      <w:start w:val="1"/>
      <w:numFmt w:val="lowerRoman"/>
      <w:lvlText w:val="%6"/>
      <w:lvlJc w:val="left"/>
      <w:pPr>
        <w:ind w:left="39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0CAC64">
      <w:start w:val="1"/>
      <w:numFmt w:val="decimal"/>
      <w:lvlText w:val="%7"/>
      <w:lvlJc w:val="left"/>
      <w:pPr>
        <w:ind w:left="46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2B2AC">
      <w:start w:val="1"/>
      <w:numFmt w:val="lowerLetter"/>
      <w:lvlText w:val="%8"/>
      <w:lvlJc w:val="left"/>
      <w:pPr>
        <w:ind w:left="54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EF82A">
      <w:start w:val="1"/>
      <w:numFmt w:val="lowerRoman"/>
      <w:lvlText w:val="%9"/>
      <w:lvlJc w:val="left"/>
      <w:pPr>
        <w:ind w:left="61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5025F0"/>
    <w:multiLevelType w:val="hybridMultilevel"/>
    <w:tmpl w:val="3EA4A882"/>
    <w:lvl w:ilvl="0" w:tplc="F768DF12">
      <w:start w:val="1"/>
      <w:numFmt w:val="bullet"/>
      <w:lvlText w:val="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C49D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855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3EAD9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8C9DF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A718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18980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2449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24599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A"/>
    <w:rsid w:val="00B60DBA"/>
    <w:rsid w:val="00D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8E8B65F-C742-48EE-8469-C2B8841D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" w:line="259" w:lineRule="auto"/>
      <w:ind w:left="10" w:hanging="10"/>
    </w:pPr>
    <w:rPr>
      <w:rFonts w:ascii="黑体" w:eastAsia="黑体" w:hAnsi="黑体" w:cs="黑体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0" w:line="259" w:lineRule="auto"/>
      <w:ind w:left="10" w:hanging="10"/>
      <w:outlineLvl w:val="0"/>
    </w:pPr>
    <w:rPr>
      <w:rFonts w:ascii="黑体" w:eastAsia="黑体" w:hAnsi="黑体" w:cs="黑体"/>
      <w:color w:val="00206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黑体" w:eastAsia="黑体" w:hAnsi="黑体" w:cs="黑体"/>
      <w:color w:val="002060"/>
      <w:sz w:val="24"/>
    </w:rPr>
  </w:style>
  <w:style w:type="paragraph" w:styleId="a3">
    <w:name w:val="header"/>
    <w:basedOn w:val="a"/>
    <w:link w:val="a4"/>
    <w:uiPriority w:val="99"/>
    <w:unhideWhenUsed/>
    <w:rsid w:val="00D16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7C3"/>
    <w:rPr>
      <w:rFonts w:ascii="黑体" w:eastAsia="黑体" w:hAnsi="黑体" w:cs="黑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</cp:lastModifiedBy>
  <cp:revision>2</cp:revision>
  <dcterms:created xsi:type="dcterms:W3CDTF">2019-04-11T11:27:00Z</dcterms:created>
  <dcterms:modified xsi:type="dcterms:W3CDTF">2019-04-11T11:27:00Z</dcterms:modified>
</cp:coreProperties>
</file>