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BD4" w:rsidRDefault="005C0BD4">
      <w:pPr>
        <w:spacing w:after="0" w:line="425" w:lineRule="auto"/>
        <w:ind w:left="0" w:right="321" w:firstLine="727"/>
        <w:rPr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9-1</w:t>
      </w:r>
      <w:r>
        <w:rPr>
          <w:sz w:val="32"/>
        </w:rPr>
        <w:t>专业特色、实施过程和效果说明及其支撑材料</w:t>
      </w:r>
    </w:p>
    <w:p w:rsidR="00180376" w:rsidRDefault="005C0BD4" w:rsidP="005C0BD4">
      <w:pPr>
        <w:spacing w:after="0" w:line="425" w:lineRule="auto"/>
        <w:ind w:right="321"/>
      </w:pPr>
      <w:bookmarkStart w:id="0" w:name="_GoBack"/>
      <w:bookmarkEnd w:id="0"/>
      <w:r>
        <w:rPr>
          <w:sz w:val="30"/>
        </w:rPr>
        <w:t>一、</w:t>
      </w:r>
      <w:r>
        <w:rPr>
          <w:sz w:val="30"/>
        </w:rPr>
        <w:t xml:space="preserve"> </w:t>
      </w:r>
      <w:r>
        <w:rPr>
          <w:sz w:val="30"/>
        </w:rPr>
        <w:t>专业特色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180376" w:rsidRDefault="005C0BD4">
      <w:pPr>
        <w:spacing w:after="21" w:line="443" w:lineRule="auto"/>
        <w:ind w:left="-15" w:firstLine="559"/>
      </w:pPr>
      <w:r>
        <w:t>本专业以计算机科学与技术、软件工程两个省级重点学科为依托，以培养高层次、应用型、复合型人才为宗旨，近年来形成如下特色。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180376" w:rsidRDefault="005C0BD4">
      <w:pPr>
        <w:numPr>
          <w:ilvl w:val="0"/>
          <w:numId w:val="1"/>
        </w:numPr>
        <w:spacing w:after="1" w:line="458" w:lineRule="auto"/>
        <w:ind w:firstLine="562"/>
      </w:pPr>
      <w:r>
        <w:t>培养内容注重实际。以软件架构与开发技术、数据挖掘与商</w:t>
      </w:r>
      <w:proofErr w:type="gramStart"/>
      <w:r>
        <w:t>务</w:t>
      </w:r>
      <w:proofErr w:type="gramEnd"/>
      <w:r>
        <w:t>智能、教育大数据等领域为培养重点。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180376" w:rsidRDefault="005C0BD4">
      <w:pPr>
        <w:numPr>
          <w:ilvl w:val="0"/>
          <w:numId w:val="1"/>
        </w:numPr>
        <w:spacing w:after="0" w:line="458" w:lineRule="auto"/>
        <w:ind w:firstLine="562"/>
      </w:pPr>
      <w:r>
        <w:t>理论学习与实践能力交叉提升。建立了模块化课程体系、互动的层次化实验教学体系和</w:t>
      </w:r>
      <w:proofErr w:type="gramStart"/>
      <w:r>
        <w:t>校企</w:t>
      </w:r>
      <w:proofErr w:type="gramEnd"/>
      <w:r>
        <w:t>结合的实训机制。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180376" w:rsidRDefault="005C0BD4">
      <w:pPr>
        <w:numPr>
          <w:ilvl w:val="0"/>
          <w:numId w:val="1"/>
        </w:numPr>
        <w:spacing w:after="0" w:line="458" w:lineRule="auto"/>
        <w:ind w:firstLine="562"/>
      </w:pPr>
      <w:r>
        <w:t>强化综合能力训练。注重学生的计算机软件开发、工程化训练、职业能力和创新能力培养。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180376" w:rsidRDefault="005C0BD4">
      <w:pPr>
        <w:numPr>
          <w:ilvl w:val="0"/>
          <w:numId w:val="1"/>
        </w:numPr>
        <w:spacing w:after="284"/>
        <w:ind w:firstLine="562"/>
      </w:pPr>
      <w:r>
        <w:t>毕业生就业态势良好。毕业生大多在软件企业中从事软件的</w:t>
      </w:r>
    </w:p>
    <w:p w:rsidR="00180376" w:rsidRDefault="005C0BD4">
      <w:pPr>
        <w:ind w:left="-5"/>
      </w:pPr>
      <w:r>
        <w:t>研发、组织和管理工作，部分从事计算机教育或相近专业的技术工作。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180376" w:rsidRDefault="005C0BD4">
      <w:pPr>
        <w:pStyle w:val="1"/>
        <w:ind w:left="-5"/>
      </w:pPr>
      <w:r>
        <w:lastRenderedPageBreak/>
        <w:t>二、实施过程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80376" w:rsidRDefault="005C0BD4">
      <w:pPr>
        <w:numPr>
          <w:ilvl w:val="0"/>
          <w:numId w:val="2"/>
        </w:numPr>
        <w:ind w:hanging="422"/>
      </w:pPr>
      <w:r>
        <w:t>突出工程实践能力的培养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80376" w:rsidRDefault="005C0BD4">
      <w:pPr>
        <w:ind w:left="569"/>
      </w:pPr>
      <w:r>
        <w:t>以应用型人才培养为目标，在培养方案中扩大实践学时比例，结</w:t>
      </w:r>
    </w:p>
    <w:p w:rsidR="00180376" w:rsidRDefault="005C0BD4">
      <w:pPr>
        <w:ind w:left="-5"/>
      </w:pPr>
      <w:r>
        <w:t>合校外实训基地的人才培养方案，保障专业实训效果。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180376" w:rsidRDefault="005C0BD4">
      <w:pPr>
        <w:numPr>
          <w:ilvl w:val="0"/>
          <w:numId w:val="2"/>
        </w:numPr>
        <w:ind w:hanging="422"/>
      </w:pPr>
      <w:r>
        <w:t>提升学生的科研和创新能力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80376" w:rsidRDefault="005C0BD4">
      <w:pPr>
        <w:spacing w:after="25" w:line="440" w:lineRule="auto"/>
        <w:ind w:left="-15" w:firstLine="559"/>
      </w:pPr>
      <w:r>
        <w:t>建立大学生科技创新基地；以各类科技与技能竞赛为依托，提升学生专业技能水平；鼓励学生参与教师科研项目；加强大学生创新课题指导力度；鼓励学生进行专利和软件著作权申报和项目转化。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180376" w:rsidRDefault="005C0BD4">
      <w:pPr>
        <w:numPr>
          <w:ilvl w:val="0"/>
          <w:numId w:val="2"/>
        </w:numPr>
        <w:ind w:hanging="422"/>
      </w:pPr>
      <w:r>
        <w:t>积极对外交流，拓展国际视野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80376" w:rsidRDefault="005C0BD4">
      <w:pPr>
        <w:spacing w:after="26" w:line="443" w:lineRule="auto"/>
        <w:ind w:left="569"/>
      </w:pPr>
      <w:r>
        <w:t>学院鼓励教师和学生参加各种对外交流；建立与德国法兰克福应用科技大学的定期交流制度；与全国知名服务外包公司深化合作，共同培养国际化人才。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180376" w:rsidRDefault="005C0BD4">
      <w:pPr>
        <w:pStyle w:val="1"/>
        <w:ind w:left="-5"/>
      </w:pPr>
      <w:r>
        <w:t>三、效果说明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80376" w:rsidRDefault="005C0BD4">
      <w:pPr>
        <w:numPr>
          <w:ilvl w:val="0"/>
          <w:numId w:val="3"/>
        </w:numPr>
        <w:ind w:hanging="422"/>
      </w:pPr>
      <w:r>
        <w:t>形成了突出实践能力的培养方案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80376" w:rsidRDefault="005C0BD4">
      <w:pPr>
        <w:ind w:left="569"/>
      </w:pPr>
      <w:r>
        <w:t>通过制定贴合实际的培养方案，提高学生实践能力；知识结构更</w:t>
      </w:r>
    </w:p>
    <w:p w:rsidR="00180376" w:rsidRDefault="005C0BD4">
      <w:pPr>
        <w:ind w:left="-5"/>
      </w:pPr>
      <w:r>
        <w:t>为合理，符合市场需求，有效提升学生就业竞争力。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180376" w:rsidRDefault="005C0BD4">
      <w:pPr>
        <w:numPr>
          <w:ilvl w:val="0"/>
          <w:numId w:val="3"/>
        </w:numPr>
        <w:ind w:hanging="422"/>
      </w:pPr>
      <w:r>
        <w:lastRenderedPageBreak/>
        <w:t>形成了匹配人才培养模式的师资队伍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80376" w:rsidRDefault="005C0BD4">
      <w:pPr>
        <w:ind w:left="569"/>
      </w:pPr>
      <w:r>
        <w:t>通过承办和参加各类专业建设及人才培养研讨会，凝练能力强、</w:t>
      </w:r>
    </w:p>
    <w:p w:rsidR="00180376" w:rsidRDefault="005C0BD4">
      <w:pPr>
        <w:ind w:left="-5"/>
      </w:pPr>
      <w:r>
        <w:t>匹配度高的优秀教师队伍，不断深化教学改革。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180376" w:rsidRDefault="005C0BD4">
      <w:pPr>
        <w:numPr>
          <w:ilvl w:val="0"/>
          <w:numId w:val="3"/>
        </w:numPr>
        <w:ind w:hanging="422"/>
      </w:pPr>
      <w:r>
        <w:t>以赛代练，切实提升专业技能水平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80376" w:rsidRDefault="005C0BD4">
      <w:pPr>
        <w:ind w:left="569"/>
      </w:pPr>
      <w:r>
        <w:t>通过参加各种科技竞赛，不断提升专业技能水平，</w:t>
      </w:r>
      <w:r>
        <w:t>近年来获得国</w:t>
      </w:r>
    </w:p>
    <w:p w:rsidR="00180376" w:rsidRDefault="005C0BD4">
      <w:pPr>
        <w:ind w:left="-5"/>
      </w:pPr>
      <w:proofErr w:type="gramStart"/>
      <w:r>
        <w:t>家级奖励</w:t>
      </w:r>
      <w:proofErr w:type="gramEnd"/>
      <w:r>
        <w:rPr>
          <w:rFonts w:ascii="Times New Roman" w:eastAsia="Times New Roman" w:hAnsi="Times New Roman" w:cs="Times New Roman"/>
        </w:rPr>
        <w:t>4</w:t>
      </w:r>
      <w:r>
        <w:t>项、省级奖励</w:t>
      </w:r>
      <w:r>
        <w:rPr>
          <w:rFonts w:ascii="Times New Roman" w:eastAsia="Times New Roman" w:hAnsi="Times New Roman" w:cs="Times New Roman"/>
        </w:rPr>
        <w:t>5</w:t>
      </w:r>
      <w:r>
        <w:t>项。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180376" w:rsidRDefault="005C0BD4">
      <w:pPr>
        <w:numPr>
          <w:ilvl w:val="0"/>
          <w:numId w:val="3"/>
        </w:numPr>
        <w:ind w:hanging="422"/>
      </w:pPr>
      <w:r>
        <w:t>密切校企合作，共建双创基地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80376" w:rsidRDefault="005C0BD4">
      <w:pPr>
        <w:ind w:left="569"/>
      </w:pPr>
      <w:r>
        <w:t>加强与国内知名软件企业合作，企业专家参与学生培养；建立创</w:t>
      </w:r>
    </w:p>
    <w:p w:rsidR="00180376" w:rsidRDefault="005C0BD4">
      <w:pPr>
        <w:ind w:left="-5"/>
      </w:pPr>
      <w:r>
        <w:t>新创业中心，引进企业实训平台及课程，形成了相对完善的运转机制。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180376" w:rsidRDefault="005C0BD4">
      <w:pPr>
        <w:numPr>
          <w:ilvl w:val="0"/>
          <w:numId w:val="3"/>
        </w:numPr>
        <w:ind w:hanging="422"/>
      </w:pPr>
      <w:r>
        <w:t>建立长期稳定的国际交流机制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80376" w:rsidRDefault="005C0BD4">
      <w:pPr>
        <w:ind w:left="569"/>
      </w:pPr>
      <w:r>
        <w:t>与德国法兰克福应用科技大学建立稳定的交流机制，双方每年互</w:t>
      </w:r>
    </w:p>
    <w:p w:rsidR="00180376" w:rsidRDefault="005C0BD4">
      <w:pPr>
        <w:ind w:left="-5"/>
      </w:pPr>
      <w:r>
        <w:t>派师生共同实施实验教学项目，研讨科技创新。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180376" w:rsidRDefault="005C0BD4">
      <w:pPr>
        <w:numPr>
          <w:ilvl w:val="0"/>
          <w:numId w:val="3"/>
        </w:numPr>
        <w:ind w:hanging="422"/>
      </w:pPr>
      <w:r>
        <w:t>学生科技创新能力较大提升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80376" w:rsidRDefault="005C0BD4">
      <w:pPr>
        <w:ind w:left="569"/>
      </w:pPr>
      <w:r>
        <w:t>通过参与教师课题和申报大学生创新课题，学以致用。近年来，</w:t>
      </w:r>
    </w:p>
    <w:p w:rsidR="00180376" w:rsidRDefault="005C0BD4">
      <w:pPr>
        <w:spacing w:line="456" w:lineRule="auto"/>
        <w:ind w:left="-5"/>
      </w:pPr>
      <w:r>
        <w:t>学生共发表学术论文</w:t>
      </w:r>
      <w:r>
        <w:rPr>
          <w:rFonts w:ascii="Times New Roman" w:eastAsia="Times New Roman" w:hAnsi="Times New Roman" w:cs="Times New Roman"/>
        </w:rPr>
        <w:t>18</w:t>
      </w:r>
      <w:r>
        <w:t>篇，获</w:t>
      </w:r>
      <w:proofErr w:type="gramStart"/>
      <w:r>
        <w:t>批专利</w:t>
      </w:r>
      <w:proofErr w:type="gramEnd"/>
      <w:r>
        <w:rPr>
          <w:rFonts w:ascii="Times New Roman" w:eastAsia="Times New Roman" w:hAnsi="Times New Roman" w:cs="Times New Roman"/>
        </w:rPr>
        <w:t>12</w:t>
      </w:r>
      <w:r>
        <w:t>项、软件著作权</w:t>
      </w:r>
      <w:r>
        <w:rPr>
          <w:rFonts w:ascii="Times New Roman" w:eastAsia="Times New Roman" w:hAnsi="Times New Roman" w:cs="Times New Roman"/>
        </w:rPr>
        <w:t>15</w:t>
      </w:r>
      <w:r>
        <w:t>项，获批国家级创新项目</w:t>
      </w:r>
      <w:r>
        <w:rPr>
          <w:rFonts w:ascii="Times New Roman" w:eastAsia="Times New Roman" w:hAnsi="Times New Roman" w:cs="Times New Roman"/>
        </w:rPr>
        <w:t>5</w:t>
      </w:r>
      <w:r>
        <w:t>项。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180376" w:rsidRDefault="005C0BD4">
      <w:pPr>
        <w:spacing w:after="291"/>
        <w:ind w:left="0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180376" w:rsidRDefault="005C0BD4">
      <w:pPr>
        <w:pStyle w:val="1"/>
        <w:ind w:left="2809"/>
      </w:pPr>
      <w:r>
        <w:t>支撑材料（见网盘）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80376" w:rsidRDefault="005C0BD4">
      <w:pPr>
        <w:tabs>
          <w:tab w:val="center" w:pos="1831"/>
          <w:tab w:val="center" w:pos="3781"/>
          <w:tab w:val="center" w:pos="4201"/>
          <w:tab w:val="center" w:pos="4621"/>
          <w:tab w:val="center" w:pos="5041"/>
          <w:tab w:val="center" w:pos="5461"/>
          <w:tab w:val="center" w:pos="5881"/>
          <w:tab w:val="center" w:pos="6301"/>
        </w:tabs>
        <w:spacing w:after="28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9.1-1</w:t>
      </w:r>
      <w:r>
        <w:t>本专业培养方案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180376" w:rsidRDefault="005C0BD4">
      <w:pPr>
        <w:tabs>
          <w:tab w:val="center" w:pos="2112"/>
          <w:tab w:val="center" w:pos="4201"/>
          <w:tab w:val="center" w:pos="4621"/>
          <w:tab w:val="center" w:pos="504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9.1-2</w:t>
      </w:r>
      <w:r>
        <w:t>本专业学生成果情况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180376" w:rsidRDefault="005C0BD4">
      <w:pPr>
        <w:tabs>
          <w:tab w:val="center" w:pos="2811"/>
          <w:tab w:val="center" w:pos="5461"/>
          <w:tab w:val="center" w:pos="6301"/>
        </w:tabs>
        <w:spacing w:after="28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9.1-3</w:t>
      </w:r>
      <w:r>
        <w:t>法兰克福应用科技大学交流情况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180376" w:rsidRDefault="005C0BD4">
      <w:pPr>
        <w:ind w:left="569"/>
      </w:pPr>
      <w:r>
        <w:rPr>
          <w:rFonts w:ascii="Times New Roman" w:eastAsia="Times New Roman" w:hAnsi="Times New Roman" w:cs="Times New Roman"/>
        </w:rPr>
        <w:t>9.1-4</w:t>
      </w:r>
      <w:r>
        <w:t>对外交流情况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180376">
      <w:pgSz w:w="11906" w:h="16838"/>
      <w:pgMar w:top="1590" w:right="1522" w:bottom="183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17B86"/>
    <w:multiLevelType w:val="hybridMultilevel"/>
    <w:tmpl w:val="4CC20DB2"/>
    <w:lvl w:ilvl="0" w:tplc="C0BED80A">
      <w:start w:val="1"/>
      <w:numFmt w:val="decimal"/>
      <w:lvlText w:val="%1、"/>
      <w:lvlJc w:val="left"/>
      <w:pPr>
        <w:ind w:left="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00D5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4CCC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B215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7A4B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1877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F2F3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94C4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98E2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67240F"/>
    <w:multiLevelType w:val="hybridMultilevel"/>
    <w:tmpl w:val="14B25DAA"/>
    <w:lvl w:ilvl="0" w:tplc="9FC4CEB6">
      <w:start w:val="1"/>
      <w:numFmt w:val="decimal"/>
      <w:lvlText w:val="%1、"/>
      <w:lvlJc w:val="left"/>
      <w:pPr>
        <w:ind w:left="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5CA5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AA69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8C6B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7E65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6E80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22D1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1E0E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C4CB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7E0F08"/>
    <w:multiLevelType w:val="hybridMultilevel"/>
    <w:tmpl w:val="BD7829B8"/>
    <w:lvl w:ilvl="0" w:tplc="F6A81080">
      <w:start w:val="1"/>
      <w:numFmt w:val="decimal"/>
      <w:lvlText w:val="%1、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5AF142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804B1C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C493B4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C63328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90AF20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625094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3A740A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9E28A4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76"/>
    <w:rsid w:val="00180376"/>
    <w:rsid w:val="005C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295C"/>
  <w15:docId w15:val="{2E7B81EF-C951-43C2-A53E-C7745B10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79" w:line="259" w:lineRule="auto"/>
      <w:ind w:left="10" w:hanging="10"/>
    </w:pPr>
    <w:rPr>
      <w:rFonts w:ascii="微软雅黑" w:eastAsia="微软雅黑" w:hAnsi="微软雅黑" w:cs="微软雅黑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53" w:line="259" w:lineRule="auto"/>
      <w:ind w:left="10" w:hanging="10"/>
      <w:outlineLvl w:val="0"/>
    </w:pPr>
    <w:rPr>
      <w:rFonts w:ascii="微软雅黑" w:eastAsia="微软雅黑" w:hAnsi="微软雅黑" w:cs="微软雅黑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USER</cp:lastModifiedBy>
  <cp:revision>2</cp:revision>
  <dcterms:created xsi:type="dcterms:W3CDTF">2019-04-12T08:53:00Z</dcterms:created>
  <dcterms:modified xsi:type="dcterms:W3CDTF">2019-04-12T08:53:00Z</dcterms:modified>
</cp:coreProperties>
</file>