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E0" w:rsidRDefault="008D6F54">
      <w:bookmarkStart w:id="0" w:name="_GoBack"/>
      <w:bookmarkEnd w:id="0"/>
      <w:r>
        <w:t>9.1</w:t>
      </w:r>
      <w:r>
        <w:t>专业特色、实施过程和效果说明及其支撑材料</w:t>
      </w:r>
      <w:r>
        <w:t xml:space="preserve"> </w:t>
      </w:r>
    </w:p>
    <w:p w:rsidR="00EF7FE0" w:rsidRDefault="008D6F54">
      <w:pPr>
        <w:numPr>
          <w:ilvl w:val="0"/>
          <w:numId w:val="1"/>
        </w:numPr>
        <w:ind w:left="932" w:hanging="481"/>
      </w:pPr>
      <w:r>
        <w:t>主要特色</w:t>
      </w:r>
      <w:r>
        <w:t xml:space="preserve"> </w:t>
      </w:r>
    </w:p>
    <w:p w:rsidR="00EF7FE0" w:rsidRDefault="008D6F54">
      <w:pPr>
        <w:spacing w:after="11" w:line="360" w:lineRule="auto"/>
        <w:ind w:left="0" w:firstLine="466"/>
      </w:pPr>
      <w:r>
        <w:t>我校计算机科学与技术专业经过多年的建设与发展，以计算机科学与技术学科为主线，以信息产业需求为导向，注重因材施教，强化对外交流合作，人才培养呈现国际化。充分利用</w:t>
      </w:r>
      <w:r>
        <w:t>“</w:t>
      </w:r>
      <w:r>
        <w:t>合作发展联盟</w:t>
      </w:r>
      <w:r>
        <w:t>”</w:t>
      </w:r>
      <w:r>
        <w:t>资源，构建了</w:t>
      </w:r>
      <w:r>
        <w:t>“</w:t>
      </w:r>
      <w:r>
        <w:t>专业知识</w:t>
      </w:r>
      <w:r>
        <w:t>+</w:t>
      </w:r>
      <w:r>
        <w:t>综合能力</w:t>
      </w:r>
      <w:r>
        <w:t xml:space="preserve">+ </w:t>
      </w:r>
      <w:r>
        <w:t>职业技能</w:t>
      </w:r>
      <w:r>
        <w:t>”</w:t>
      </w:r>
      <w:r>
        <w:t>的应用型人才培养模式，逐步形成了计算机科学与技术专业人才培养的</w:t>
      </w:r>
      <w:r>
        <w:t>“</w:t>
      </w:r>
      <w:r>
        <w:t>创造性，实践性，工程性</w:t>
      </w:r>
      <w:r>
        <w:t>”</w:t>
      </w:r>
      <w:r>
        <w:t>特色。</w:t>
      </w:r>
      <w:r>
        <w:t xml:space="preserve"> </w:t>
      </w:r>
    </w:p>
    <w:p w:rsidR="00EF7FE0" w:rsidRDefault="008D6F54">
      <w:pPr>
        <w:numPr>
          <w:ilvl w:val="0"/>
          <w:numId w:val="1"/>
        </w:numPr>
        <w:ind w:left="932" w:hanging="481"/>
      </w:pPr>
      <w:r>
        <w:t>实施过程和效果说明</w:t>
      </w:r>
      <w:r>
        <w:t xml:space="preserve"> </w:t>
      </w:r>
    </w:p>
    <w:p w:rsidR="00EF7FE0" w:rsidRDefault="008D6F54">
      <w:pPr>
        <w:numPr>
          <w:ilvl w:val="0"/>
          <w:numId w:val="2"/>
        </w:numPr>
        <w:ind w:left="812" w:hanging="361"/>
      </w:pPr>
      <w:r>
        <w:t>制定了科学合理适应应用型的人才培养方案及课程体系。</w:t>
      </w:r>
      <w:r>
        <w:t xml:space="preserve"> </w:t>
      </w:r>
    </w:p>
    <w:p w:rsidR="00EF7FE0" w:rsidRDefault="008D6F54">
      <w:pPr>
        <w:spacing w:after="0" w:line="369" w:lineRule="auto"/>
        <w:ind w:left="0" w:firstLine="466"/>
      </w:pPr>
      <w:r>
        <w:t>制定了科学合理适应应用型人才培养的</w:t>
      </w:r>
      <w:r>
        <w:t>“4+4”</w:t>
      </w:r>
      <w:r>
        <w:t>培养方案，借鉴</w:t>
      </w:r>
      <w:r>
        <w:t>IEEE/ACM</w:t>
      </w:r>
      <w:r>
        <w:t>的教学计划、</w:t>
      </w:r>
      <w:r>
        <w:t>IEEE</w:t>
      </w:r>
      <w:r>
        <w:t>工程知识体标准</w:t>
      </w:r>
      <w:r>
        <w:t>SWEBOK</w:t>
      </w:r>
      <w:r>
        <w:t>、</w:t>
      </w:r>
      <w:r>
        <w:t>WGSEET</w:t>
      </w:r>
      <w:r>
        <w:t>调整计算机科学与技术专业教学大纲、教学计划与课程体系，构建完成了</w:t>
      </w:r>
      <w:r>
        <w:t>“</w:t>
      </w:r>
      <w:r>
        <w:t>以学生为主体，以教师为主导，以就业能力培养为主线，以素质教育为核心</w:t>
      </w:r>
      <w:r>
        <w:t>”</w:t>
      </w:r>
      <w:r>
        <w:t>和</w:t>
      </w:r>
      <w:r>
        <w:t>“</w:t>
      </w:r>
      <w:r>
        <w:t>专业素质</w:t>
      </w:r>
      <w:r>
        <w:t>+</w:t>
      </w:r>
      <w:r>
        <w:t>职业能力</w:t>
      </w:r>
      <w:r>
        <w:t>+</w:t>
      </w:r>
      <w:r>
        <w:t>资格认证</w:t>
      </w:r>
      <w:r>
        <w:t xml:space="preserve">” </w:t>
      </w:r>
      <w:r>
        <w:t>三位一体的新课程体系。最终形成了黄淮学院计算机科学与技术专业</w:t>
      </w:r>
      <w:r>
        <w:t>“</w:t>
      </w:r>
      <w:r>
        <w:t>知识、能力的</w:t>
      </w:r>
      <w:r>
        <w:t xml:space="preserve"> </w:t>
      </w:r>
      <w:r>
        <w:rPr>
          <w:rFonts w:ascii="Calibri" w:eastAsia="Calibri" w:hAnsi="Calibri" w:cs="Calibri"/>
        </w:rPr>
        <w:t xml:space="preserve">4+4 </w:t>
      </w:r>
      <w:r>
        <w:t>模式</w:t>
      </w:r>
      <w:r>
        <w:t>”</w:t>
      </w:r>
      <w:r>
        <w:t>：人文社会科学知识，数学知识，专业知识（学科之特色），相关领域知识；开发</w:t>
      </w:r>
      <w:r>
        <w:rPr>
          <w:rFonts w:ascii="Calibri" w:eastAsia="Calibri" w:hAnsi="Calibri" w:cs="Calibri"/>
        </w:rPr>
        <w:t>(</w:t>
      </w:r>
      <w:r>
        <w:t>设计</w:t>
      </w:r>
      <w:r>
        <w:rPr>
          <w:rFonts w:ascii="Calibri" w:eastAsia="Calibri" w:hAnsi="Calibri" w:cs="Calibri"/>
        </w:rPr>
        <w:t>)</w:t>
      </w:r>
      <w:r>
        <w:t>能力（专业必备），学习能力（终身受用），处事能力（领袖风采），创新能力（财富源泉）</w:t>
      </w:r>
      <w:r>
        <w:t>。</w:t>
      </w:r>
      <w:r>
        <w:t xml:space="preserve"> </w:t>
      </w:r>
    </w:p>
    <w:p w:rsidR="00EF7FE0" w:rsidRDefault="008D6F54">
      <w:pPr>
        <w:numPr>
          <w:ilvl w:val="0"/>
          <w:numId w:val="2"/>
        </w:numPr>
        <w:ind w:left="812" w:hanging="361"/>
      </w:pPr>
      <w:r>
        <w:t>构建了校企合作的人才培养模式。</w:t>
      </w:r>
      <w:r>
        <w:t xml:space="preserve"> </w:t>
      </w:r>
    </w:p>
    <w:p w:rsidR="00EF7FE0" w:rsidRDefault="008D6F54">
      <w:pPr>
        <w:spacing w:after="15" w:line="361" w:lineRule="auto"/>
        <w:ind w:left="0" w:firstLine="466"/>
      </w:pPr>
      <w:r>
        <w:t>应用型人才的培养与经济的发展联系最为密切，我们探索出了政府主导、行业指导和企业参与的</w:t>
      </w:r>
      <w:r>
        <w:t>“</w:t>
      </w:r>
      <w:r>
        <w:t>校企结合、产教融合</w:t>
      </w:r>
      <w:r>
        <w:t>”</w:t>
      </w:r>
      <w:r>
        <w:t>的办学体制，搭建起系统开放，资源汇集，机制健全，互惠共赢的合作发展联盟，在学校内建立大学生创新创业园，引入企业真实项目，遵循职业实践能力形成规律、基础理论知识培养规律和职业综合素质养成规律，创新校企合作育人体系。黄淮学院信息工程学院与中锐</w:t>
      </w:r>
      <w:r>
        <w:lastRenderedPageBreak/>
        <w:t>资华、中国芝麻交易网、甲骨文等多家培训机构广泛开展项目合作，建立软件开发实训平台，今年又与华为联合要校内建立华为网络学院。现已形</w:t>
      </w:r>
      <w:r>
        <w:t>成了有效的双赢合作机制，可充分满足学生实践能力的培养需求。学生在学习期间，从一年级到四年级均由不同形式、不同时长的企业实训、顶岗实习和接受企业教育的机会，实现学习与实践一体化、实习与就业一体化。达成合作协议的企业参与到教学培养计划的制定过程，由用人单位直接提出专业知识构成、能力架构和综合素质标准，并将企业的核心技术需求以课程形式融合到培养模式中去。本专业先后建立了稳定的校外实训基地，在实习和毕业综合实习环节，由实训基地的工程师以企业真实的项目为学生讲解项目设计和开发的方法与流程，使学生在实习过程中，不仅获得</w:t>
      </w:r>
      <w:r>
        <w:t>就业方面的技能和工作经验，更有部分优秀生就此与实习单位签订了工作协议，使企业、学校、学生三方实现了</w:t>
      </w:r>
      <w:r>
        <w:t>“</w:t>
      </w:r>
      <w:r>
        <w:t>共赢</w:t>
      </w:r>
      <w:r>
        <w:t>”</w:t>
      </w:r>
      <w:r>
        <w:t>。</w:t>
      </w:r>
      <w:r>
        <w:t xml:space="preserve"> </w:t>
      </w:r>
    </w:p>
    <w:p w:rsidR="00EF7FE0" w:rsidRDefault="008D6F54">
      <w:pPr>
        <w:numPr>
          <w:ilvl w:val="0"/>
          <w:numId w:val="2"/>
        </w:numPr>
        <w:ind w:left="812" w:hanging="361"/>
      </w:pPr>
      <w:r>
        <w:t>构建了具有示范引领作用的综合教学平台。</w:t>
      </w:r>
      <w:r>
        <w:t xml:space="preserve"> </w:t>
      </w:r>
    </w:p>
    <w:p w:rsidR="00EF7FE0" w:rsidRDefault="008D6F54">
      <w:pPr>
        <w:spacing w:after="43" w:line="360" w:lineRule="auto"/>
        <w:ind w:left="0" w:firstLine="466"/>
      </w:pPr>
      <w:r>
        <w:t>几年来，学校为计算机科学与技术特色专业建设先后投资二百多万元，建成了软件开发综合实验室、软件测试实验室、数据库实验室、嵌入式实验室、计算机组成原理实验室，并与北京中锐咨华有限公司、北京渥瑞达、无锡</w:t>
      </w:r>
      <w:r>
        <w:t>IBM</w:t>
      </w:r>
      <w:r>
        <w:t>实训基地等企业建立了产学研合作的实训基地，为人才培养提供了有力的保证，并为软件工程、网络工程、通信工程等相近专业的建设起到了示范引领作用。</w:t>
      </w:r>
      <w:r>
        <w:rPr>
          <w:rFonts w:ascii="Calibri" w:eastAsia="Calibri" w:hAnsi="Calibri" w:cs="Calibri"/>
        </w:rPr>
        <w:t xml:space="preserve"> </w:t>
      </w:r>
    </w:p>
    <w:p w:rsidR="00EF7FE0" w:rsidRDefault="008D6F54">
      <w:pPr>
        <w:numPr>
          <w:ilvl w:val="0"/>
          <w:numId w:val="2"/>
        </w:numPr>
        <w:spacing w:after="148"/>
        <w:ind w:left="812" w:hanging="361"/>
      </w:pPr>
      <w:r>
        <w:t>重视</w:t>
      </w:r>
      <w:r>
        <w:t>“</w:t>
      </w:r>
      <w:r>
        <w:t>双师型</w:t>
      </w:r>
      <w:r>
        <w:t>”</w:t>
      </w:r>
      <w:r>
        <w:t>师资队伍建设。</w:t>
      </w:r>
      <w:r>
        <w:rPr>
          <w:rFonts w:ascii="Calibri" w:eastAsia="Calibri" w:hAnsi="Calibri" w:cs="Calibri"/>
        </w:rPr>
        <w:t xml:space="preserve"> </w:t>
      </w:r>
    </w:p>
    <w:p w:rsidR="00EF7FE0" w:rsidRDefault="008D6F54">
      <w:pPr>
        <w:spacing w:after="20" w:line="364" w:lineRule="auto"/>
        <w:ind w:left="0" w:firstLine="466"/>
      </w:pPr>
      <w:r>
        <w:t>鼓励教师到企业进行专业实践锻炼，顶岗实习，提高专业技术素质。我们严格落实</w:t>
      </w:r>
      <w:r>
        <w:t>“</w:t>
      </w:r>
      <w:r>
        <w:t>专业教师每两年必须有到企业或生产服务一线实践</w:t>
      </w:r>
      <w:r>
        <w:t>”</w:t>
      </w:r>
      <w:r>
        <w:t>的规定，制订详实的专业教师企业实践锻炼年度计划，充分利用寒暑假时间，到企业学习新技术、新方法，了解企业现代生产、管理过程，体验企业生产氛围，探讨解决教学中遇</w:t>
      </w:r>
      <w:r>
        <w:lastRenderedPageBreak/>
        <w:t>到的疑难问题，完成实践锻炼任务，提高专业技术素质。专业教师到企业实践锻炼作为本专业教师职称晋升的重要依据。此外，学校也加强了对专业教师在企业实践锻炼的监督、管理、检查、协调等工作。</w:t>
      </w:r>
      <w:r>
        <w:rPr>
          <w:rFonts w:ascii="Calibri" w:eastAsia="Calibri" w:hAnsi="Calibri" w:cs="Calibri"/>
        </w:rPr>
        <w:t xml:space="preserve">  </w:t>
      </w:r>
      <w:r>
        <w:t>同时，从合作企业一线职工中选拔聘请</w:t>
      </w:r>
      <w:r>
        <w:t>能工巧匠、技术骨干为兼职教师，使其成为稳定的校外兼职教师。通过本校培训，储备专业实践教师后备力量。</w:t>
      </w:r>
      <w:r>
        <w:rPr>
          <w:rFonts w:ascii="Calibri" w:eastAsia="Calibri" w:hAnsi="Calibri" w:cs="Calibri"/>
        </w:rPr>
        <w:t xml:space="preserve"> </w:t>
      </w:r>
    </w:p>
    <w:p w:rsidR="00EF7FE0" w:rsidRDefault="008D6F54">
      <w:pPr>
        <w:numPr>
          <w:ilvl w:val="0"/>
          <w:numId w:val="2"/>
        </w:numPr>
        <w:spacing w:after="89"/>
        <w:ind w:left="812" w:hanging="361"/>
      </w:pPr>
      <w:r>
        <w:t>注重课外实践能力和创新能力培养。</w:t>
      </w:r>
      <w:r>
        <w:t xml:space="preserve"> </w:t>
      </w:r>
    </w:p>
    <w:p w:rsidR="00EF7FE0" w:rsidRDefault="008D6F54">
      <w:pPr>
        <w:spacing w:after="26" w:line="384" w:lineRule="auto"/>
        <w:ind w:left="0" w:firstLine="496"/>
      </w:pPr>
      <w:r>
        <w:t>鼓励并组织本专业学生鼓励学生积极参加学科相关的竞赛，为学生提供学科竞赛平台，目前我们主要参与</w:t>
      </w:r>
      <w:r>
        <w:t>ACM</w:t>
      </w:r>
      <w:r>
        <w:t>大赛、软件测试大赛、电子设计大赛、数学建模、蓝桥标软件大赛、挑战杯大赛、机器人大赛等。积极参加全国大学生</w:t>
      </w:r>
      <w:r>
        <w:t>“</w:t>
      </w:r>
      <w:r>
        <w:t>挑战杯</w:t>
      </w:r>
      <w:r>
        <w:t>”</w:t>
      </w:r>
      <w:r>
        <w:t>、</w:t>
      </w:r>
      <w:r>
        <w:t>ACM</w:t>
      </w:r>
      <w:r>
        <w:t>大赛等各种专业竞赛。这些活动既增加了学生的实践机会，也使其综合能力得以提升，拓展了学生的就业面。</w:t>
      </w:r>
      <w:r>
        <w:t xml:space="preserve"> </w:t>
      </w:r>
    </w:p>
    <w:p w:rsidR="00EF7FE0" w:rsidRDefault="008D6F54">
      <w:pPr>
        <w:spacing w:after="19" w:line="367" w:lineRule="auto"/>
        <w:ind w:left="0" w:right="114" w:firstLine="466"/>
      </w:pPr>
      <w:r>
        <w:t>计算机科学与技术特色专业的建设工作有序开展，有力地推动了全院教师教育思想和教育观念的转变，深化了人才培养模式、教学内容与课程体系、教学方法与手段的改革，培养了一支</w:t>
      </w:r>
      <w:r>
        <w:t>“</w:t>
      </w:r>
      <w:r>
        <w:t>数量足、素质高、结构合理、专兼结合</w:t>
      </w:r>
      <w:r>
        <w:t>”</w:t>
      </w:r>
      <w:r>
        <w:t>的双师型教学团队，促进了师资队伍、教学条件的建设和水平的提高，带动了我院专业建设整体水平的提高。三、支撑材料清单</w:t>
      </w:r>
      <w:r>
        <w:rPr>
          <w:rFonts w:ascii="Calibri" w:eastAsia="Calibri" w:hAnsi="Calibri" w:cs="Calibri"/>
        </w:rPr>
        <w:t xml:space="preserve"> </w:t>
      </w:r>
    </w:p>
    <w:p w:rsidR="00EF7FE0" w:rsidRDefault="008D6F54">
      <w:pPr>
        <w:numPr>
          <w:ilvl w:val="0"/>
          <w:numId w:val="3"/>
        </w:numPr>
        <w:ind w:left="812" w:hanging="361"/>
      </w:pPr>
      <w:r>
        <w:t>计算机科学与技术专业人才培养方案</w:t>
      </w:r>
      <w:r>
        <w:rPr>
          <w:rFonts w:ascii="Calibri" w:eastAsia="Calibri" w:hAnsi="Calibri" w:cs="Calibri"/>
        </w:rPr>
        <w:t xml:space="preserve"> </w:t>
      </w:r>
    </w:p>
    <w:p w:rsidR="00EF7FE0" w:rsidRDefault="008D6F54">
      <w:pPr>
        <w:numPr>
          <w:ilvl w:val="0"/>
          <w:numId w:val="3"/>
        </w:numPr>
        <w:spacing w:after="149"/>
        <w:ind w:left="812" w:hanging="361"/>
      </w:pPr>
      <w:r>
        <w:t>课程教学大纲</w:t>
      </w:r>
      <w:r>
        <w:rPr>
          <w:rFonts w:ascii="Calibri" w:eastAsia="Calibri" w:hAnsi="Calibri" w:cs="Calibri"/>
        </w:rPr>
        <w:t xml:space="preserve"> </w:t>
      </w:r>
    </w:p>
    <w:p w:rsidR="00EF7FE0" w:rsidRDefault="008D6F54">
      <w:pPr>
        <w:numPr>
          <w:ilvl w:val="0"/>
          <w:numId w:val="3"/>
        </w:numPr>
        <w:spacing w:after="0" w:line="394" w:lineRule="auto"/>
        <w:ind w:left="812" w:hanging="361"/>
      </w:pPr>
      <w:r>
        <w:t>学生评教情况</w:t>
      </w:r>
      <w:r>
        <w:rPr>
          <w:rFonts w:ascii="Calibri" w:eastAsia="Calibri" w:hAnsi="Calibri" w:cs="Calibri"/>
        </w:rPr>
        <w:t xml:space="preserve"> 4</w:t>
      </w:r>
      <w:r>
        <w:t>、学生获奖情况</w:t>
      </w:r>
      <w:r>
        <w:rPr>
          <w:rFonts w:ascii="Calibri" w:eastAsia="Calibri" w:hAnsi="Calibri" w:cs="Calibri"/>
        </w:rPr>
        <w:t xml:space="preserve"> </w:t>
      </w:r>
    </w:p>
    <w:p w:rsidR="00EF7FE0" w:rsidRDefault="008D6F54">
      <w:pPr>
        <w:numPr>
          <w:ilvl w:val="0"/>
          <w:numId w:val="4"/>
        </w:numPr>
        <w:spacing w:after="148"/>
        <w:ind w:left="812" w:hanging="361"/>
      </w:pPr>
      <w:r>
        <w:t>校企合作情况</w:t>
      </w:r>
      <w:r>
        <w:rPr>
          <w:rFonts w:ascii="Calibri" w:eastAsia="Calibri" w:hAnsi="Calibri" w:cs="Calibri"/>
        </w:rPr>
        <w:t xml:space="preserve"> </w:t>
      </w:r>
    </w:p>
    <w:p w:rsidR="00EF7FE0" w:rsidRDefault="008D6F54">
      <w:pPr>
        <w:numPr>
          <w:ilvl w:val="0"/>
          <w:numId w:val="4"/>
        </w:numPr>
        <w:ind w:left="812" w:hanging="361"/>
      </w:pPr>
      <w:r>
        <w:t>实习基地建设名单</w:t>
      </w:r>
      <w:r>
        <w:rPr>
          <w:rFonts w:ascii="Calibri" w:eastAsia="Calibri" w:hAnsi="Calibri" w:cs="Calibri"/>
        </w:rPr>
        <w:t xml:space="preserve"> </w:t>
      </w:r>
    </w:p>
    <w:sectPr w:rsidR="00EF7FE0">
      <w:pgSz w:w="11910" w:h="16845"/>
      <w:pgMar w:top="1475" w:right="1667" w:bottom="1483" w:left="18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F54" w:rsidRDefault="008D6F54" w:rsidP="008D6F54">
      <w:pPr>
        <w:spacing w:after="0" w:line="240" w:lineRule="auto"/>
      </w:pPr>
      <w:r>
        <w:separator/>
      </w:r>
    </w:p>
  </w:endnote>
  <w:endnote w:type="continuationSeparator" w:id="0">
    <w:p w:rsidR="008D6F54" w:rsidRDefault="008D6F54" w:rsidP="008D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F54" w:rsidRDefault="008D6F54" w:rsidP="008D6F54">
      <w:pPr>
        <w:spacing w:after="0" w:line="240" w:lineRule="auto"/>
      </w:pPr>
      <w:r>
        <w:separator/>
      </w:r>
    </w:p>
  </w:footnote>
  <w:footnote w:type="continuationSeparator" w:id="0">
    <w:p w:rsidR="008D6F54" w:rsidRDefault="008D6F54" w:rsidP="008D6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69AE"/>
    <w:multiLevelType w:val="hybridMultilevel"/>
    <w:tmpl w:val="FB405C3C"/>
    <w:lvl w:ilvl="0" w:tplc="DC3EDEEA">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4C5E92">
      <w:start w:val="1"/>
      <w:numFmt w:val="lowerLetter"/>
      <w:lvlText w:val="%2"/>
      <w:lvlJc w:val="left"/>
      <w:pPr>
        <w:ind w:left="1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4E6B66">
      <w:start w:val="1"/>
      <w:numFmt w:val="lowerRoman"/>
      <w:lvlText w:val="%3"/>
      <w:lvlJc w:val="left"/>
      <w:pPr>
        <w:ind w:left="1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06FB0E">
      <w:start w:val="1"/>
      <w:numFmt w:val="decimal"/>
      <w:lvlText w:val="%4"/>
      <w:lvlJc w:val="left"/>
      <w:pPr>
        <w:ind w:left="2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9C0D46">
      <w:start w:val="1"/>
      <w:numFmt w:val="lowerLetter"/>
      <w:lvlText w:val="%5"/>
      <w:lvlJc w:val="left"/>
      <w:pPr>
        <w:ind w:left="3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BCC76E">
      <w:start w:val="1"/>
      <w:numFmt w:val="lowerRoman"/>
      <w:lvlText w:val="%6"/>
      <w:lvlJc w:val="left"/>
      <w:pPr>
        <w:ind w:left="4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98B23E">
      <w:start w:val="1"/>
      <w:numFmt w:val="decimal"/>
      <w:lvlText w:val="%7"/>
      <w:lvlJc w:val="left"/>
      <w:pPr>
        <w:ind w:left="4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04BAEE">
      <w:start w:val="1"/>
      <w:numFmt w:val="lowerLetter"/>
      <w:lvlText w:val="%8"/>
      <w:lvlJc w:val="left"/>
      <w:pPr>
        <w:ind w:left="5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F08222">
      <w:start w:val="1"/>
      <w:numFmt w:val="lowerRoman"/>
      <w:lvlText w:val="%9"/>
      <w:lvlJc w:val="left"/>
      <w:pPr>
        <w:ind w:left="6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D97424"/>
    <w:multiLevelType w:val="hybridMultilevel"/>
    <w:tmpl w:val="9B127DEC"/>
    <w:lvl w:ilvl="0" w:tplc="51C20DB2">
      <w:start w:val="1"/>
      <w:numFmt w:val="decimal"/>
      <w:lvlText w:val="%1、"/>
      <w:lvlJc w:val="left"/>
      <w:pPr>
        <w:ind w:left="81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A12FA68">
      <w:start w:val="1"/>
      <w:numFmt w:val="lowerLetter"/>
      <w:lvlText w:val="%2"/>
      <w:lvlJc w:val="left"/>
      <w:pPr>
        <w:ind w:left="154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8FAD1A4">
      <w:start w:val="1"/>
      <w:numFmt w:val="lowerRoman"/>
      <w:lvlText w:val="%3"/>
      <w:lvlJc w:val="left"/>
      <w:pPr>
        <w:ind w:left="226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DECCF44">
      <w:start w:val="1"/>
      <w:numFmt w:val="decimal"/>
      <w:lvlText w:val="%4"/>
      <w:lvlJc w:val="left"/>
      <w:pPr>
        <w:ind w:left="298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F5A3862">
      <w:start w:val="1"/>
      <w:numFmt w:val="lowerLetter"/>
      <w:lvlText w:val="%5"/>
      <w:lvlJc w:val="left"/>
      <w:pPr>
        <w:ind w:left="370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D34D58C">
      <w:start w:val="1"/>
      <w:numFmt w:val="lowerRoman"/>
      <w:lvlText w:val="%6"/>
      <w:lvlJc w:val="left"/>
      <w:pPr>
        <w:ind w:left="442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6088DB6">
      <w:start w:val="1"/>
      <w:numFmt w:val="decimal"/>
      <w:lvlText w:val="%7"/>
      <w:lvlJc w:val="left"/>
      <w:pPr>
        <w:ind w:left="514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5201E40">
      <w:start w:val="1"/>
      <w:numFmt w:val="lowerLetter"/>
      <w:lvlText w:val="%8"/>
      <w:lvlJc w:val="left"/>
      <w:pPr>
        <w:ind w:left="586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1643412">
      <w:start w:val="1"/>
      <w:numFmt w:val="lowerRoman"/>
      <w:lvlText w:val="%9"/>
      <w:lvlJc w:val="left"/>
      <w:pPr>
        <w:ind w:left="658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E23148"/>
    <w:multiLevelType w:val="hybridMultilevel"/>
    <w:tmpl w:val="BE1846D0"/>
    <w:lvl w:ilvl="0" w:tplc="0726B56A">
      <w:start w:val="1"/>
      <w:numFmt w:val="ideographDigital"/>
      <w:lvlText w:val="%1、"/>
      <w:lvlJc w:val="left"/>
      <w:pPr>
        <w:ind w:left="93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76EC83A">
      <w:start w:val="1"/>
      <w:numFmt w:val="lowerLetter"/>
      <w:lvlText w:val="%2"/>
      <w:lvlJc w:val="left"/>
      <w:pPr>
        <w:ind w:left="154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A7C2FE8">
      <w:start w:val="1"/>
      <w:numFmt w:val="lowerRoman"/>
      <w:lvlText w:val="%3"/>
      <w:lvlJc w:val="left"/>
      <w:pPr>
        <w:ind w:left="226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06243EA">
      <w:start w:val="1"/>
      <w:numFmt w:val="decimal"/>
      <w:lvlText w:val="%4"/>
      <w:lvlJc w:val="left"/>
      <w:pPr>
        <w:ind w:left="298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20EDEFA">
      <w:start w:val="1"/>
      <w:numFmt w:val="lowerLetter"/>
      <w:lvlText w:val="%5"/>
      <w:lvlJc w:val="left"/>
      <w:pPr>
        <w:ind w:left="370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E3E1D4C">
      <w:start w:val="1"/>
      <w:numFmt w:val="lowerRoman"/>
      <w:lvlText w:val="%6"/>
      <w:lvlJc w:val="left"/>
      <w:pPr>
        <w:ind w:left="442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DDA30C4">
      <w:start w:val="1"/>
      <w:numFmt w:val="decimal"/>
      <w:lvlText w:val="%7"/>
      <w:lvlJc w:val="left"/>
      <w:pPr>
        <w:ind w:left="514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FE4C656">
      <w:start w:val="1"/>
      <w:numFmt w:val="lowerLetter"/>
      <w:lvlText w:val="%8"/>
      <w:lvlJc w:val="left"/>
      <w:pPr>
        <w:ind w:left="586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60E484A">
      <w:start w:val="1"/>
      <w:numFmt w:val="lowerRoman"/>
      <w:lvlText w:val="%9"/>
      <w:lvlJc w:val="left"/>
      <w:pPr>
        <w:ind w:left="658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72331D"/>
    <w:multiLevelType w:val="hybridMultilevel"/>
    <w:tmpl w:val="2D7C74C0"/>
    <w:lvl w:ilvl="0" w:tplc="4BFECA80">
      <w:start w:val="5"/>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CE3D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F484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9A64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C6C2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DEC8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367F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58DD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2E54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E0"/>
    <w:rsid w:val="008D6F54"/>
    <w:rsid w:val="00EF7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6D00F76-8F7A-496A-8E8A-FD468D1A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9" w:line="259" w:lineRule="auto"/>
      <w:ind w:left="10" w:hanging="10"/>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F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D6F54"/>
    <w:rPr>
      <w:rFonts w:ascii="微软雅黑" w:eastAsia="微软雅黑" w:hAnsi="微软雅黑" w:cs="微软雅黑"/>
      <w:color w:val="000000"/>
      <w:sz w:val="18"/>
      <w:szCs w:val="18"/>
    </w:rPr>
  </w:style>
  <w:style w:type="paragraph" w:styleId="a5">
    <w:name w:val="footer"/>
    <w:basedOn w:val="a"/>
    <w:link w:val="a6"/>
    <w:uiPriority w:val="99"/>
    <w:unhideWhenUsed/>
    <w:rsid w:val="008D6F5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D6F54"/>
    <w:rPr>
      <w:rFonts w:ascii="微软雅黑" w:eastAsia="微软雅黑" w:hAnsi="微软雅黑" w:cs="微软雅黑"/>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Myz</dc:creator>
  <cp:keywords/>
  <cp:lastModifiedBy>USER</cp:lastModifiedBy>
  <cp:revision>2</cp:revision>
  <dcterms:created xsi:type="dcterms:W3CDTF">2019-04-12T09:07:00Z</dcterms:created>
  <dcterms:modified xsi:type="dcterms:W3CDTF">2019-04-12T09:07:00Z</dcterms:modified>
</cp:coreProperties>
</file>