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856" w:rsidRDefault="005E2BCE">
      <w:pPr>
        <w:spacing w:after="135" w:line="259" w:lineRule="auto"/>
        <w:ind w:left="499" w:firstLine="0"/>
      </w:pPr>
      <w:bookmarkStart w:id="0" w:name="_GoBack"/>
      <w:bookmarkEnd w:id="0"/>
      <w:r>
        <w:rPr>
          <w:sz w:val="28"/>
        </w:rPr>
        <w:t>新乡学院计算机科学与技术专业特色、实施过程和效果说明</w:t>
      </w:r>
    </w:p>
    <w:p w:rsidR="00945856" w:rsidRDefault="005E2BCE">
      <w:pPr>
        <w:numPr>
          <w:ilvl w:val="0"/>
          <w:numId w:val="1"/>
        </w:numPr>
        <w:spacing w:after="125"/>
        <w:ind w:hanging="480"/>
      </w:pPr>
      <w:r>
        <w:t>专业特色</w:t>
      </w:r>
    </w:p>
    <w:p w:rsidR="00945856" w:rsidRDefault="005E2BCE">
      <w:pPr>
        <w:spacing w:after="125"/>
        <w:ind w:left="430"/>
      </w:pPr>
      <w:r>
        <w:t>我校计算机科学与技术专业本着</w:t>
      </w:r>
      <w:r>
        <w:t>“</w:t>
      </w:r>
      <w:r>
        <w:t>校企合作、优势互补、工学结合、高效联</w:t>
      </w:r>
    </w:p>
    <w:p w:rsidR="00945856" w:rsidRDefault="005E2BCE">
      <w:pPr>
        <w:spacing w:line="360" w:lineRule="auto"/>
        <w:ind w:left="-5"/>
      </w:pPr>
      <w:r>
        <w:t>合</w:t>
      </w:r>
      <w:r>
        <w:t>”</w:t>
      </w:r>
      <w:r>
        <w:t>的指导思想，强调</w:t>
      </w:r>
      <w:r>
        <w:t>“</w:t>
      </w:r>
      <w:r>
        <w:t>专业知识好、实践能力强、基本素质高、上手快可持续</w:t>
      </w:r>
      <w:r>
        <w:t xml:space="preserve">” </w:t>
      </w:r>
      <w:r>
        <w:t>的工程实践能力，并时刻与学科专业发展和社会热点需求相结合。</w:t>
      </w:r>
    </w:p>
    <w:p w:rsidR="00945856" w:rsidRDefault="005E2BCE">
      <w:pPr>
        <w:spacing w:after="125"/>
        <w:ind w:left="-5"/>
      </w:pPr>
      <w:r>
        <w:t>1.</w:t>
      </w:r>
      <w:r>
        <w:t>注重学生的工程实践能力</w:t>
      </w:r>
    </w:p>
    <w:p w:rsidR="00945856" w:rsidRDefault="005E2BCE">
      <w:pPr>
        <w:spacing w:line="360" w:lineRule="auto"/>
        <w:ind w:left="-15" w:firstLine="420"/>
      </w:pPr>
      <w:r>
        <w:t>本专业的目标是具备计算机硬件、软件与应用的基本理论知识，具有良好的科学素养和工程实践能力，能够从事计算机应用开发测试，特别是大数据、网络工程与安全、移动互联网等方面的工作，</w:t>
      </w:r>
      <w:r>
        <w:t>成为服务地方信息化建设和经济发展的应用型高级专门人才。</w:t>
      </w:r>
    </w:p>
    <w:p w:rsidR="00945856" w:rsidRDefault="005E2BCE">
      <w:pPr>
        <w:numPr>
          <w:ilvl w:val="1"/>
          <w:numId w:val="1"/>
        </w:numPr>
        <w:spacing w:after="125"/>
        <w:ind w:hanging="600"/>
      </w:pPr>
      <w:r>
        <w:t>建立完善的实践教学体系</w:t>
      </w:r>
    </w:p>
    <w:p w:rsidR="00945856" w:rsidRDefault="005E2BCE">
      <w:pPr>
        <w:spacing w:after="131" w:line="259" w:lineRule="auto"/>
        <w:ind w:right="108"/>
        <w:jc w:val="right"/>
      </w:pPr>
      <w:r>
        <w:t>根据人才培养目标、专业发展与社会需求，整合专业实践（实验）教学资</w:t>
      </w:r>
    </w:p>
    <w:p w:rsidR="00945856" w:rsidRDefault="005E2BCE">
      <w:pPr>
        <w:spacing w:after="70"/>
        <w:ind w:left="-5"/>
      </w:pPr>
      <w:r>
        <w:t>源，构建课内实践教学、课外实践教学和集中实践教学的实践教学体系。</w:t>
      </w:r>
    </w:p>
    <w:p w:rsidR="00945856" w:rsidRDefault="005E2BCE">
      <w:pPr>
        <w:numPr>
          <w:ilvl w:val="1"/>
          <w:numId w:val="1"/>
        </w:numPr>
        <w:spacing w:after="70"/>
        <w:ind w:hanging="600"/>
      </w:pPr>
      <w:r>
        <w:t>创新实践教学模式</w:t>
      </w:r>
    </w:p>
    <w:p w:rsidR="00945856" w:rsidRDefault="005E2BCE">
      <w:pPr>
        <w:spacing w:line="360" w:lineRule="auto"/>
        <w:ind w:left="-15" w:firstLine="600"/>
      </w:pPr>
      <w:r>
        <w:t>改革实践教学内容，增加综合性、设计性实验，争取达到</w:t>
      </w:r>
      <w:r>
        <w:t>60%</w:t>
      </w:r>
      <w:r>
        <w:t>。改革实践教学考核方式，根据实践教学特点，针对不同的课程、环节采用过程评价、非笔试评价、企业实践评价、竞赛认证评价等灵活多样的考核方式。</w:t>
      </w:r>
    </w:p>
    <w:p w:rsidR="00945856" w:rsidRDefault="005E2BCE">
      <w:pPr>
        <w:numPr>
          <w:ilvl w:val="1"/>
          <w:numId w:val="1"/>
        </w:numPr>
        <w:spacing w:after="125"/>
        <w:ind w:hanging="600"/>
      </w:pPr>
      <w:r>
        <w:t>与知名企业合作，引入企业学院课程</w:t>
      </w:r>
    </w:p>
    <w:p w:rsidR="00945856" w:rsidRDefault="005E2BCE">
      <w:pPr>
        <w:spacing w:line="360" w:lineRule="auto"/>
        <w:ind w:left="-15" w:firstLine="540"/>
      </w:pPr>
      <w:r>
        <w:t>我院与四川华迪信息技术有限公司合作共建</w:t>
      </w:r>
      <w:r>
        <w:t>“</w:t>
      </w:r>
      <w:r>
        <w:t>华迪</w:t>
      </w:r>
      <w:r>
        <w:t>IT</w:t>
      </w:r>
      <w:r>
        <w:t>学院</w:t>
      </w:r>
      <w:r>
        <w:t>”</w:t>
      </w:r>
      <w:r>
        <w:t>、与华为技术有限公司合作共建</w:t>
      </w:r>
      <w:r>
        <w:t>“</w:t>
      </w:r>
      <w:r>
        <w:t>华为信息与网络技术学院</w:t>
      </w:r>
      <w:r>
        <w:t>”</w:t>
      </w:r>
      <w:r>
        <w:t>，广泛开展专业平台建设，共同开发专业课程，并在</w:t>
      </w:r>
      <w:r>
        <w:t>2016</w:t>
      </w:r>
      <w:r>
        <w:t>年人才培养方案中明确地引入了行业学院课程。</w:t>
      </w:r>
    </w:p>
    <w:p w:rsidR="00945856" w:rsidRDefault="005E2BCE">
      <w:pPr>
        <w:spacing w:after="125"/>
        <w:ind w:left="-5"/>
      </w:pPr>
      <w:r>
        <w:t>2.</w:t>
      </w:r>
      <w:r>
        <w:t>以就业需求为导向设置专业方向</w:t>
      </w:r>
    </w:p>
    <w:p w:rsidR="00945856" w:rsidRDefault="005E2BCE">
      <w:pPr>
        <w:spacing w:line="360" w:lineRule="auto"/>
        <w:ind w:left="-15" w:firstLine="540"/>
      </w:pPr>
      <w:r>
        <w:t>我院在强调核心知识能力的基础上，兼顾就业需求，并且根据社会需求不断进行调整，从</w:t>
      </w:r>
      <w:r>
        <w:t>2010</w:t>
      </w:r>
      <w:r>
        <w:t>版和</w:t>
      </w:r>
      <w:r>
        <w:t>2013</w:t>
      </w:r>
      <w:r>
        <w:t>版人才培养方案中的</w:t>
      </w:r>
      <w:r>
        <w:t>“Java</w:t>
      </w:r>
      <w:r>
        <w:t>方向</w:t>
      </w:r>
      <w:r>
        <w:t>”</w:t>
      </w:r>
      <w:r>
        <w:t>、</w:t>
      </w:r>
      <w:r>
        <w:t>“.NET</w:t>
      </w:r>
      <w:r>
        <w:t>方向</w:t>
      </w:r>
      <w:r>
        <w:t>”</w:t>
      </w:r>
      <w:r>
        <w:t>、</w:t>
      </w:r>
      <w:r>
        <w:t>“</w:t>
      </w:r>
      <w:r>
        <w:t>嵌入式方向</w:t>
      </w:r>
      <w:r>
        <w:t>”</w:t>
      </w:r>
      <w:r>
        <w:t>和</w:t>
      </w:r>
      <w:r>
        <w:t>“</w:t>
      </w:r>
      <w:r>
        <w:t>网络方向</w:t>
      </w:r>
      <w:r>
        <w:t>”</w:t>
      </w:r>
      <w:r>
        <w:t>，到</w:t>
      </w:r>
      <w:r>
        <w:t>2016</w:t>
      </w:r>
      <w:r>
        <w:t>版人才培养方案的</w:t>
      </w:r>
      <w:r>
        <w:t>“</w:t>
      </w:r>
      <w:r>
        <w:t>大数据方向</w:t>
      </w:r>
      <w:r>
        <w:t>”</w:t>
      </w:r>
      <w:r>
        <w:t>、</w:t>
      </w:r>
      <w:r>
        <w:t>“</w:t>
      </w:r>
      <w:r>
        <w:t>网络工程与安全方向</w:t>
      </w:r>
      <w:r>
        <w:t>”</w:t>
      </w:r>
      <w:r>
        <w:t>和</w:t>
      </w:r>
      <w:r>
        <w:t>“</w:t>
      </w:r>
      <w:r>
        <w:t>移动互联网方向</w:t>
      </w:r>
      <w:r>
        <w:t>”</w:t>
      </w:r>
      <w:r>
        <w:t>，时刻反正着社会热点的变化。</w:t>
      </w:r>
    </w:p>
    <w:p w:rsidR="00945856" w:rsidRDefault="005E2BCE">
      <w:pPr>
        <w:numPr>
          <w:ilvl w:val="0"/>
          <w:numId w:val="1"/>
        </w:numPr>
        <w:spacing w:after="125"/>
        <w:ind w:hanging="480"/>
      </w:pPr>
      <w:r>
        <w:t>实施过程</w:t>
      </w:r>
    </w:p>
    <w:p w:rsidR="00945856" w:rsidRDefault="005E2BCE">
      <w:pPr>
        <w:spacing w:after="550"/>
        <w:ind w:left="-5"/>
      </w:pPr>
      <w:r>
        <w:t>1.</w:t>
      </w:r>
      <w:r>
        <w:t>教学模式与教学方法改革</w:t>
      </w:r>
    </w:p>
    <w:p w:rsidR="00945856" w:rsidRDefault="005E2BCE">
      <w:pPr>
        <w:spacing w:after="65" w:line="259" w:lineRule="auto"/>
        <w:ind w:right="125"/>
        <w:jc w:val="center"/>
      </w:pPr>
      <w:r>
        <w:rPr>
          <w:rFonts w:ascii="Calibri" w:eastAsia="Calibri" w:hAnsi="Calibri" w:cs="Calibri"/>
          <w:sz w:val="18"/>
        </w:rPr>
        <w:t>1</w:t>
      </w:r>
    </w:p>
    <w:p w:rsidR="00945856" w:rsidRDefault="005E2BCE">
      <w:pPr>
        <w:spacing w:after="131" w:line="259" w:lineRule="auto"/>
        <w:ind w:right="108"/>
        <w:jc w:val="right"/>
      </w:pPr>
      <w:r>
        <w:lastRenderedPageBreak/>
        <w:t>在授课、讨论、作业、实践等教学环节，增加学生动手实践；在教学中注</w:t>
      </w:r>
    </w:p>
    <w:p w:rsidR="00945856" w:rsidRDefault="005E2BCE">
      <w:pPr>
        <w:spacing w:line="360" w:lineRule="auto"/>
        <w:ind w:left="-5"/>
      </w:pPr>
      <w:r>
        <w:t>重引导学生学思结合、学以致用，实现教学手段的现代化与教学形式的多样性，使学生成为教学主体，取得了良好的教学效果。</w:t>
      </w:r>
    </w:p>
    <w:p w:rsidR="00945856" w:rsidRDefault="005E2BCE">
      <w:pPr>
        <w:spacing w:after="125"/>
        <w:ind w:left="-5"/>
      </w:pPr>
      <w:r>
        <w:t>2.</w:t>
      </w:r>
      <w:r>
        <w:t>根据课程特点，实施</w:t>
      </w:r>
      <w:r>
        <w:t>“</w:t>
      </w:r>
      <w:r>
        <w:t>多元评价方式</w:t>
      </w:r>
      <w:r>
        <w:t>”</w:t>
      </w:r>
    </w:p>
    <w:p w:rsidR="00945856" w:rsidRDefault="005E2BCE">
      <w:pPr>
        <w:spacing w:line="360" w:lineRule="auto"/>
        <w:ind w:left="-15" w:firstLine="420"/>
      </w:pPr>
      <w:r>
        <w:t>为充分调动学生的实践动手能力，培养学生的专业实践能力，激发学生的创新能力及个性化发展，实施了</w:t>
      </w:r>
      <w:r>
        <w:t>“</w:t>
      </w:r>
      <w:r>
        <w:t>多元评价方式改革</w:t>
      </w:r>
      <w:r>
        <w:t>”</w:t>
      </w:r>
      <w:r>
        <w:t>。针对不同课程的特点，鼓励采用灵活的考核方式，摆脱一张纸质卷子打天下的老传统，以机代考，以大作业代考，以项目答辩代考等。</w:t>
      </w:r>
    </w:p>
    <w:p w:rsidR="00945856" w:rsidRDefault="005E2BCE">
      <w:pPr>
        <w:spacing w:after="125"/>
        <w:ind w:left="-5"/>
      </w:pPr>
      <w:r>
        <w:t>3.</w:t>
      </w:r>
      <w:r>
        <w:t>重视</w:t>
      </w:r>
      <w:r>
        <w:t>“</w:t>
      </w:r>
      <w:r>
        <w:t>双师双能</w:t>
      </w:r>
      <w:r>
        <w:t>”</w:t>
      </w:r>
      <w:r>
        <w:t>师资队伍建</w:t>
      </w:r>
      <w:r>
        <w:t>设</w:t>
      </w:r>
    </w:p>
    <w:p w:rsidR="00945856" w:rsidRDefault="005E2BCE">
      <w:pPr>
        <w:spacing w:line="360" w:lineRule="auto"/>
        <w:ind w:left="-15" w:firstLine="420"/>
      </w:pPr>
      <w:r>
        <w:t>行业企业的专业技术人员担任专业课程的讲师；鼓励教师到企业进行专业实践锻炼、挂职；</w:t>
      </w:r>
      <w:r>
        <w:t>“</w:t>
      </w:r>
      <w:r>
        <w:t>双师双能</w:t>
      </w:r>
      <w:r>
        <w:t>”</w:t>
      </w:r>
      <w:r>
        <w:t>在本专业教师支撑晋升中也作为重要的依据。</w:t>
      </w:r>
    </w:p>
    <w:p w:rsidR="00945856" w:rsidRDefault="005E2BCE">
      <w:pPr>
        <w:spacing w:after="125"/>
        <w:ind w:left="-5"/>
      </w:pPr>
      <w:r>
        <w:t>4.</w:t>
      </w:r>
      <w:r>
        <w:t>创造各方面条件，增加本科生的实践机会，加强实训基地建设</w:t>
      </w:r>
    </w:p>
    <w:p w:rsidR="00945856" w:rsidRDefault="005E2BCE">
      <w:pPr>
        <w:spacing w:line="360" w:lineRule="auto"/>
        <w:ind w:left="-15" w:firstLine="420"/>
      </w:pPr>
      <w:r>
        <w:t>每学期都会至少安排一门专业课程的课程设计；在安排学生到行业企业进行认知见习；在大四分方向开设实训课程；建立校外实习实训基地，培养学生的工程实践能力和职业素质。</w:t>
      </w:r>
    </w:p>
    <w:p w:rsidR="00945856" w:rsidRDefault="005E2BCE">
      <w:pPr>
        <w:ind w:left="-5"/>
      </w:pPr>
      <w:r>
        <w:t>附：专业特色、实施过程和效果说明支撑材料清单</w:t>
      </w:r>
    </w:p>
    <w:tbl>
      <w:tblPr>
        <w:tblStyle w:val="TableGrid"/>
        <w:tblW w:w="8522" w:type="dxa"/>
        <w:tblInd w:w="-108" w:type="dxa"/>
        <w:tblCellMar>
          <w:top w:w="0" w:type="dxa"/>
          <w:left w:w="107" w:type="dxa"/>
          <w:bottom w:w="0" w:type="dxa"/>
          <w:right w:w="141" w:type="dxa"/>
        </w:tblCellMar>
        <w:tblLook w:val="04A0" w:firstRow="1" w:lastRow="0" w:firstColumn="1" w:lastColumn="0" w:noHBand="0" w:noVBand="1"/>
      </w:tblPr>
      <w:tblGrid>
        <w:gridCol w:w="2005"/>
        <w:gridCol w:w="3596"/>
        <w:gridCol w:w="2921"/>
      </w:tblGrid>
      <w:tr w:rsidR="00945856">
        <w:trPr>
          <w:trHeight w:val="478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5856" w:rsidRDefault="005E2BCE">
            <w:pPr>
              <w:spacing w:line="259" w:lineRule="auto"/>
              <w:ind w:left="31" w:firstLine="0"/>
              <w:jc w:val="center"/>
            </w:pPr>
            <w:r>
              <w:t>序号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5856" w:rsidRDefault="005E2BCE">
            <w:pPr>
              <w:spacing w:line="259" w:lineRule="auto"/>
              <w:ind w:left="41" w:firstLine="0"/>
              <w:jc w:val="center"/>
            </w:pPr>
            <w:r>
              <w:t>支撑材料清单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5856" w:rsidRDefault="005E2BCE">
            <w:pPr>
              <w:spacing w:line="259" w:lineRule="auto"/>
              <w:ind w:left="38" w:firstLine="0"/>
              <w:jc w:val="center"/>
            </w:pPr>
            <w:r>
              <w:t>引用</w:t>
            </w:r>
            <w:r>
              <w:t>/</w:t>
            </w:r>
            <w:r>
              <w:t>使用说明</w:t>
            </w:r>
          </w:p>
        </w:tc>
      </w:tr>
      <w:tr w:rsidR="00945856">
        <w:trPr>
          <w:trHeight w:val="478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5856" w:rsidRDefault="005E2BCE">
            <w:pPr>
              <w:spacing w:line="259" w:lineRule="auto"/>
              <w:ind w:left="31" w:firstLine="0"/>
              <w:jc w:val="center"/>
            </w:pPr>
            <w:r>
              <w:t>1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5856" w:rsidRDefault="005E2BCE">
            <w:pPr>
              <w:spacing w:line="259" w:lineRule="auto"/>
              <w:ind w:left="0" w:firstLine="0"/>
            </w:pPr>
            <w:r>
              <w:t>人才培养方案</w:t>
            </w:r>
          </w:p>
        </w:tc>
        <w:tc>
          <w:tcPr>
            <w:tcW w:w="29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5856" w:rsidRDefault="005E2BCE">
            <w:pPr>
              <w:spacing w:line="259" w:lineRule="auto"/>
              <w:ind w:left="33" w:firstLine="0"/>
              <w:jc w:val="both"/>
            </w:pPr>
            <w:r>
              <w:t>支撑实施过程和效果说明</w:t>
            </w:r>
          </w:p>
        </w:tc>
      </w:tr>
      <w:tr w:rsidR="00945856">
        <w:trPr>
          <w:trHeight w:val="478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5856" w:rsidRDefault="005E2BCE">
            <w:pPr>
              <w:spacing w:line="259" w:lineRule="auto"/>
              <w:ind w:left="31" w:firstLine="0"/>
              <w:jc w:val="center"/>
            </w:pPr>
            <w:r>
              <w:t>2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5856" w:rsidRDefault="005E2BCE">
            <w:pPr>
              <w:spacing w:line="259" w:lineRule="auto"/>
              <w:ind w:left="0" w:firstLine="0"/>
            </w:pPr>
            <w:r>
              <w:t>课程设计教学大纲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5856" w:rsidRDefault="00945856">
            <w:pPr>
              <w:spacing w:after="160" w:line="259" w:lineRule="auto"/>
              <w:ind w:left="0" w:firstLine="0"/>
            </w:pPr>
          </w:p>
        </w:tc>
      </w:tr>
      <w:tr w:rsidR="00945856">
        <w:trPr>
          <w:trHeight w:val="478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5856" w:rsidRDefault="005E2BCE">
            <w:pPr>
              <w:spacing w:line="259" w:lineRule="auto"/>
              <w:ind w:left="31" w:firstLine="0"/>
              <w:jc w:val="center"/>
            </w:pPr>
            <w:r>
              <w:t>3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5856" w:rsidRDefault="005E2BCE">
            <w:pPr>
              <w:spacing w:line="259" w:lineRule="auto"/>
              <w:ind w:left="0" w:firstLine="0"/>
            </w:pPr>
            <w:r>
              <w:t>课程实训教学大纲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5856" w:rsidRDefault="00945856">
            <w:pPr>
              <w:spacing w:after="160" w:line="259" w:lineRule="auto"/>
              <w:ind w:left="0" w:firstLine="0"/>
            </w:pPr>
          </w:p>
        </w:tc>
      </w:tr>
      <w:tr w:rsidR="00945856">
        <w:trPr>
          <w:trHeight w:val="478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5856" w:rsidRDefault="005E2BCE">
            <w:pPr>
              <w:spacing w:line="259" w:lineRule="auto"/>
              <w:ind w:left="31" w:firstLine="0"/>
              <w:jc w:val="center"/>
            </w:pPr>
            <w:r>
              <w:t>4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5856" w:rsidRDefault="005E2BCE">
            <w:pPr>
              <w:spacing w:line="259" w:lineRule="auto"/>
              <w:ind w:left="0" w:firstLine="0"/>
            </w:pPr>
            <w:r>
              <w:t>灵活考试申请表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5856" w:rsidRDefault="00945856">
            <w:pPr>
              <w:spacing w:after="160" w:line="259" w:lineRule="auto"/>
              <w:ind w:left="0" w:firstLine="0"/>
            </w:pPr>
          </w:p>
        </w:tc>
      </w:tr>
      <w:tr w:rsidR="00945856">
        <w:trPr>
          <w:trHeight w:val="478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5856" w:rsidRDefault="005E2BCE">
            <w:pPr>
              <w:spacing w:line="259" w:lineRule="auto"/>
              <w:ind w:left="31" w:firstLine="0"/>
              <w:jc w:val="center"/>
            </w:pPr>
            <w:r>
              <w:t>5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5856" w:rsidRDefault="005E2BCE">
            <w:pPr>
              <w:spacing w:line="259" w:lineRule="auto"/>
              <w:ind w:left="0" w:firstLine="0"/>
            </w:pPr>
            <w:r>
              <w:t>学生评教情况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5856" w:rsidRDefault="00945856">
            <w:pPr>
              <w:spacing w:after="160" w:line="259" w:lineRule="auto"/>
              <w:ind w:left="0" w:firstLine="0"/>
            </w:pPr>
          </w:p>
        </w:tc>
      </w:tr>
      <w:tr w:rsidR="00945856">
        <w:trPr>
          <w:trHeight w:val="478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5856" w:rsidRDefault="005E2BCE">
            <w:pPr>
              <w:spacing w:line="259" w:lineRule="auto"/>
              <w:ind w:left="31" w:firstLine="0"/>
              <w:jc w:val="center"/>
            </w:pPr>
            <w:r>
              <w:t>6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5856" w:rsidRDefault="005E2BCE">
            <w:pPr>
              <w:spacing w:line="259" w:lineRule="auto"/>
              <w:ind w:left="0" w:firstLine="0"/>
            </w:pPr>
            <w:r>
              <w:t>校企合作实训基地协议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5856" w:rsidRDefault="00945856">
            <w:pPr>
              <w:spacing w:after="160" w:line="259" w:lineRule="auto"/>
              <w:ind w:left="0" w:firstLine="0"/>
            </w:pPr>
          </w:p>
        </w:tc>
      </w:tr>
      <w:tr w:rsidR="00945856">
        <w:trPr>
          <w:trHeight w:val="478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5856" w:rsidRDefault="005E2BCE">
            <w:pPr>
              <w:spacing w:line="259" w:lineRule="auto"/>
              <w:ind w:left="31" w:firstLine="0"/>
              <w:jc w:val="center"/>
            </w:pPr>
            <w:r>
              <w:t>7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5856" w:rsidRDefault="005E2BCE">
            <w:pPr>
              <w:spacing w:line="259" w:lineRule="auto"/>
              <w:ind w:left="0" w:firstLine="0"/>
            </w:pPr>
            <w:r>
              <w:t>双师双能证书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5856" w:rsidRDefault="00945856">
            <w:pPr>
              <w:spacing w:after="160" w:line="259" w:lineRule="auto"/>
              <w:ind w:left="0" w:firstLine="0"/>
            </w:pPr>
          </w:p>
        </w:tc>
      </w:tr>
      <w:tr w:rsidR="00945856">
        <w:trPr>
          <w:trHeight w:val="478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5856" w:rsidRDefault="005E2BCE">
            <w:pPr>
              <w:spacing w:line="259" w:lineRule="auto"/>
              <w:ind w:left="31" w:firstLine="0"/>
              <w:jc w:val="center"/>
            </w:pPr>
            <w:r>
              <w:t>8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5856" w:rsidRDefault="005E2BCE">
            <w:pPr>
              <w:spacing w:line="259" w:lineRule="auto"/>
              <w:ind w:left="0" w:firstLine="0"/>
            </w:pPr>
            <w:r>
              <w:t>学科竞赛获奖证书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5856" w:rsidRDefault="00945856">
            <w:pPr>
              <w:spacing w:after="160" w:line="259" w:lineRule="auto"/>
              <w:ind w:left="0" w:firstLine="0"/>
            </w:pPr>
          </w:p>
        </w:tc>
      </w:tr>
      <w:tr w:rsidR="00945856">
        <w:trPr>
          <w:trHeight w:val="478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5856" w:rsidRDefault="005E2BCE">
            <w:pPr>
              <w:spacing w:line="259" w:lineRule="auto"/>
              <w:ind w:left="31" w:firstLine="0"/>
              <w:jc w:val="center"/>
            </w:pPr>
            <w:r>
              <w:t>9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5856" w:rsidRDefault="005E2BCE">
            <w:pPr>
              <w:spacing w:line="259" w:lineRule="auto"/>
              <w:ind w:left="0" w:firstLine="0"/>
            </w:pPr>
            <w:r>
              <w:t>行业资格证书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856" w:rsidRDefault="00945856">
            <w:pPr>
              <w:spacing w:after="160" w:line="259" w:lineRule="auto"/>
              <w:ind w:left="0" w:firstLine="0"/>
            </w:pPr>
          </w:p>
        </w:tc>
      </w:tr>
    </w:tbl>
    <w:p w:rsidR="00945856" w:rsidRDefault="005E2BCE">
      <w:pPr>
        <w:spacing w:after="65" w:line="259" w:lineRule="auto"/>
        <w:ind w:right="125"/>
        <w:jc w:val="center"/>
      </w:pPr>
      <w:r>
        <w:rPr>
          <w:rFonts w:ascii="Calibri" w:eastAsia="Calibri" w:hAnsi="Calibri" w:cs="Calibri"/>
          <w:sz w:val="18"/>
        </w:rPr>
        <w:t>2</w:t>
      </w:r>
    </w:p>
    <w:sectPr w:rsidR="00945856">
      <w:pgSz w:w="11906" w:h="16838"/>
      <w:pgMar w:top="1554" w:right="1677" w:bottom="99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22660"/>
    <w:multiLevelType w:val="hybridMultilevel"/>
    <w:tmpl w:val="D1C06168"/>
    <w:lvl w:ilvl="0" w:tplc="3CA28B4E">
      <w:start w:val="1"/>
      <w:numFmt w:val="ideographDigital"/>
      <w:lvlText w:val="%1、"/>
      <w:lvlJc w:val="left"/>
      <w:pPr>
        <w:ind w:left="4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5276FE">
      <w:start w:val="1"/>
      <w:numFmt w:val="decimal"/>
      <w:lvlText w:val="（%2）"/>
      <w:lvlJc w:val="left"/>
      <w:pPr>
        <w:ind w:left="108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D24022">
      <w:start w:val="1"/>
      <w:numFmt w:val="lowerRoman"/>
      <w:lvlText w:val="%3"/>
      <w:lvlJc w:val="left"/>
      <w:pPr>
        <w:ind w:left="156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84D73E">
      <w:start w:val="1"/>
      <w:numFmt w:val="decimal"/>
      <w:lvlText w:val="%4"/>
      <w:lvlJc w:val="left"/>
      <w:pPr>
        <w:ind w:left="228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E619E0">
      <w:start w:val="1"/>
      <w:numFmt w:val="lowerLetter"/>
      <w:lvlText w:val="%5"/>
      <w:lvlJc w:val="left"/>
      <w:pPr>
        <w:ind w:left="300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EAD542">
      <w:start w:val="1"/>
      <w:numFmt w:val="lowerRoman"/>
      <w:lvlText w:val="%6"/>
      <w:lvlJc w:val="left"/>
      <w:pPr>
        <w:ind w:left="372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A0DAE4">
      <w:start w:val="1"/>
      <w:numFmt w:val="decimal"/>
      <w:lvlText w:val="%7"/>
      <w:lvlJc w:val="left"/>
      <w:pPr>
        <w:ind w:left="444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6A1970">
      <w:start w:val="1"/>
      <w:numFmt w:val="lowerLetter"/>
      <w:lvlText w:val="%8"/>
      <w:lvlJc w:val="left"/>
      <w:pPr>
        <w:ind w:left="516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380D52">
      <w:start w:val="1"/>
      <w:numFmt w:val="lowerRoman"/>
      <w:lvlText w:val="%9"/>
      <w:lvlJc w:val="left"/>
      <w:pPr>
        <w:ind w:left="588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856"/>
    <w:rsid w:val="005E2BCE"/>
    <w:rsid w:val="0094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F2E38D-E9F3-4961-9E36-680B2DAAD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65" w:lineRule="auto"/>
      <w:ind w:left="10" w:hanging="10"/>
    </w:pPr>
    <w:rPr>
      <w:rFonts w:ascii="宋体" w:eastAsia="宋体" w:hAnsi="宋体" w:cs="宋体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USER</cp:lastModifiedBy>
  <cp:revision>2</cp:revision>
  <dcterms:created xsi:type="dcterms:W3CDTF">2019-04-12T09:10:00Z</dcterms:created>
  <dcterms:modified xsi:type="dcterms:W3CDTF">2019-04-12T09:10:00Z</dcterms:modified>
</cp:coreProperties>
</file>