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C06F6" w:rsidRDefault="00735564">
      <w:pPr>
        <w:spacing w:after="259"/>
        <w:ind w:left="2797"/>
      </w:pPr>
      <w:r>
        <w:rPr>
          <w:noProof/>
        </w:rPr>
        <mc:AlternateContent>
          <mc:Choice Requires="wpg">
            <w:drawing>
              <wp:inline distT="0" distB="0" distL="0" distR="0">
                <wp:extent cx="1838198" cy="260604"/>
                <wp:effectExtent l="0" t="0" r="0" b="0"/>
                <wp:docPr id="1372" name="Group 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198" cy="260604"/>
                          <a:chOff x="0" y="0"/>
                          <a:chExt cx="1838198" cy="26060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" cy="260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0124" y="0"/>
                            <a:ext cx="345186" cy="260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0248" y="0"/>
                            <a:ext cx="457200" cy="260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8848" y="0"/>
                            <a:ext cx="345186" cy="260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8972" y="0"/>
                            <a:ext cx="457200" cy="260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47572" y="0"/>
                            <a:ext cx="345186" cy="260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77950" y="0"/>
                            <a:ext cx="460248" cy="2606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2" style="width:144.74pt;height:20.52pt;mso-position-horizontal-relative:char;mso-position-vertical-relative:line" coordsize="18381,2606">
                <v:shape id="Picture 10" style="position:absolute;width:4602;height:2606;left:0;top:0;" filled="f">
                  <v:imagedata r:id="rId12"/>
                </v:shape>
                <v:shape id="Picture 12" style="position:absolute;width:3451;height:2606;left:2301;top:0;" filled="f">
                  <v:imagedata r:id="rId13"/>
                </v:shape>
                <v:shape id="Picture 14" style="position:absolute;width:4572;height:2606;left:4602;top:0;" filled="f">
                  <v:imagedata r:id="rId14"/>
                </v:shape>
                <v:shape id="Picture 16" style="position:absolute;width:3451;height:2606;left:6888;top:0;" filled="f">
                  <v:imagedata r:id="rId13"/>
                </v:shape>
                <v:shape id="Picture 18" style="position:absolute;width:4572;height:2606;left:9189;top:0;" filled="f">
                  <v:imagedata r:id="rId15"/>
                </v:shape>
                <v:shape id="Picture 20" style="position:absolute;width:3451;height:2606;left:11475;top:0;" filled="f">
                  <v:imagedata r:id="rId13"/>
                </v:shape>
                <v:shape id="Picture 22" style="position:absolute;width:4602;height:2606;left:13779;top:0;" filled="f">
                  <v:imagedata r:id="rId16"/>
                </v:shape>
              </v:group>
            </w:pict>
          </mc:Fallback>
        </mc:AlternateContent>
      </w:r>
    </w:p>
    <w:p w:rsidR="002C06F6" w:rsidRDefault="00735564">
      <w:pPr>
        <w:spacing w:after="203"/>
        <w:ind w:left="528"/>
      </w:pPr>
      <w:r>
        <w:rPr>
          <w:rFonts w:ascii="微软雅黑" w:eastAsia="微软雅黑" w:hAnsi="微软雅黑" w:cs="微软雅黑"/>
          <w:sz w:val="32"/>
        </w:rPr>
        <w:t>计算机科学与技术专业特色、实施过程和效果说明</w:t>
      </w:r>
      <w:r>
        <w:rPr>
          <w:rFonts w:ascii="微软雅黑" w:eastAsia="微软雅黑" w:hAnsi="微软雅黑" w:cs="微软雅黑"/>
          <w:sz w:val="32"/>
        </w:rPr>
        <w:t xml:space="preserve"> </w:t>
      </w:r>
    </w:p>
    <w:p w:rsidR="002C06F6" w:rsidRDefault="00735564">
      <w:pPr>
        <w:spacing w:after="191"/>
        <w:ind w:right="2"/>
        <w:jc w:val="center"/>
      </w:pPr>
      <w:r>
        <w:rPr>
          <w:rFonts w:ascii="微软雅黑" w:eastAsia="微软雅黑" w:hAnsi="微软雅黑" w:cs="微软雅黑"/>
          <w:sz w:val="32"/>
        </w:rPr>
        <w:t xml:space="preserve"> </w:t>
      </w:r>
    </w:p>
    <w:p w:rsidR="002C06F6" w:rsidRDefault="00735564">
      <w:pPr>
        <w:spacing w:after="1" w:line="439" w:lineRule="auto"/>
        <w:ind w:left="-15" w:firstLine="619"/>
      </w:pPr>
      <w:r>
        <w:rPr>
          <w:rFonts w:ascii="微软雅黑" w:eastAsia="微软雅黑" w:hAnsi="微软雅黑" w:cs="微软雅黑"/>
          <w:sz w:val="28"/>
        </w:rPr>
        <w:t>安阳学院（原安阳师范学院人文管理学院）于</w:t>
      </w:r>
      <w:r>
        <w:rPr>
          <w:rFonts w:ascii="微软雅黑" w:eastAsia="微软雅黑" w:hAnsi="微软雅黑" w:cs="微软雅黑"/>
          <w:sz w:val="28"/>
        </w:rPr>
        <w:t>2003</w:t>
      </w:r>
      <w:r>
        <w:rPr>
          <w:rFonts w:ascii="微软雅黑" w:eastAsia="微软雅黑" w:hAnsi="微软雅黑" w:cs="微软雅黑"/>
          <w:sz w:val="28"/>
        </w:rPr>
        <w:t>年</w:t>
      </w:r>
      <w:r>
        <w:rPr>
          <w:rFonts w:ascii="微软雅黑" w:eastAsia="微软雅黑" w:hAnsi="微软雅黑" w:cs="微软雅黑"/>
          <w:sz w:val="28"/>
        </w:rPr>
        <w:t>9</w:t>
      </w:r>
      <w:r>
        <w:rPr>
          <w:rFonts w:ascii="微软雅黑" w:eastAsia="微软雅黑" w:hAnsi="微软雅黑" w:cs="微软雅黑"/>
          <w:sz w:val="28"/>
        </w:rPr>
        <w:t>月就招收了第一届计算机科学与技术本科专业。在安阳师范学院的大力支持下，经过人文管理学院十几年的建设，该专业秉承学校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立德树人、知行合一、特色立校、内涵强效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的办学理念，立足为地方经济建设服务的宗旨，已经办出了民办高校自身的特色：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把专业教育与</w:t>
      </w:r>
      <w:r>
        <w:rPr>
          <w:rFonts w:ascii="微软雅黑" w:eastAsia="微软雅黑" w:hAnsi="微软雅黑" w:cs="微软雅黑"/>
          <w:sz w:val="28"/>
        </w:rPr>
        <w:t xml:space="preserve"> IT </w:t>
      </w:r>
      <w:r>
        <w:rPr>
          <w:rFonts w:ascii="微软雅黑" w:eastAsia="微软雅黑" w:hAnsi="微软雅黑" w:cs="微软雅黑"/>
          <w:sz w:val="28"/>
        </w:rPr>
        <w:t>工程师培养有机融合，瞄准就业市场的晴雨表，及时调整专业定位、培养计划和培养方向。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实施过程及效果如下：</w:t>
      </w:r>
      <w:r>
        <w:rPr>
          <w:rFonts w:ascii="微软雅黑" w:eastAsia="微软雅黑" w:hAnsi="微软雅黑" w:cs="微软雅黑"/>
          <w:color w:val="FF0000"/>
          <w:sz w:val="24"/>
        </w:rPr>
        <w:t xml:space="preserve"> </w:t>
      </w:r>
    </w:p>
    <w:p w:rsidR="002C06F6" w:rsidRDefault="00735564">
      <w:pPr>
        <w:numPr>
          <w:ilvl w:val="0"/>
          <w:numId w:val="1"/>
        </w:numPr>
        <w:spacing w:after="254"/>
        <w:ind w:firstLine="470"/>
      </w:pPr>
      <w:r>
        <w:rPr>
          <w:rFonts w:ascii="微软雅黑" w:eastAsia="微软雅黑" w:hAnsi="微软雅黑" w:cs="微软雅黑"/>
          <w:sz w:val="28"/>
        </w:rPr>
        <w:t>雷打不动的宏观专业定位，机动灵活的微观培养计划和培</w:t>
      </w:r>
    </w:p>
    <w:p w:rsidR="002C06F6" w:rsidRDefault="00735564">
      <w:pPr>
        <w:spacing w:after="1" w:line="439" w:lineRule="auto"/>
        <w:ind w:left="-5" w:hanging="10"/>
      </w:pPr>
      <w:r>
        <w:rPr>
          <w:rFonts w:ascii="微软雅黑" w:eastAsia="微软雅黑" w:hAnsi="微软雅黑" w:cs="微软雅黑"/>
          <w:sz w:val="28"/>
        </w:rPr>
        <w:t>养方向。以一级学科确定专业定位，以二级学科渗透为培养方向，兼顾软件开发市场所需求的最新知识结构设计培养计划。采用</w:t>
      </w:r>
      <w:r>
        <w:rPr>
          <w:rFonts w:ascii="微软雅黑" w:eastAsia="微软雅黑" w:hAnsi="微软雅黑" w:cs="微软雅黑"/>
          <w:sz w:val="28"/>
        </w:rPr>
        <w:t xml:space="preserve">“3+1” </w:t>
      </w:r>
      <w:r>
        <w:rPr>
          <w:rFonts w:ascii="微软雅黑" w:eastAsia="微软雅黑" w:hAnsi="微软雅黑" w:cs="微软雅黑"/>
          <w:sz w:val="28"/>
        </w:rPr>
        <w:t>创新人才培养模式，加大实践环节的培养，实行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开放式教学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。</w:t>
      </w:r>
      <w:r>
        <w:rPr>
          <w:rFonts w:ascii="微软雅黑" w:eastAsia="微软雅黑" w:hAnsi="微软雅黑" w:cs="微软雅黑"/>
          <w:sz w:val="28"/>
        </w:rPr>
        <w:t xml:space="preserve"> </w:t>
      </w:r>
    </w:p>
    <w:p w:rsidR="002C06F6" w:rsidRDefault="00735564">
      <w:pPr>
        <w:numPr>
          <w:ilvl w:val="0"/>
          <w:numId w:val="1"/>
        </w:numPr>
        <w:spacing w:after="0" w:line="442" w:lineRule="auto"/>
        <w:ind w:firstLine="470"/>
      </w:pPr>
      <w:r>
        <w:rPr>
          <w:rFonts w:ascii="微软雅黑" w:eastAsia="微软雅黑" w:hAnsi="微软雅黑" w:cs="微软雅黑"/>
          <w:sz w:val="28"/>
        </w:rPr>
        <w:lastRenderedPageBreak/>
        <w:t>较高的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双师型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教师比例，与企业结合比较密切。</w:t>
      </w:r>
      <w:r>
        <w:rPr>
          <w:rFonts w:ascii="微软雅黑" w:eastAsia="微软雅黑" w:hAnsi="微软雅黑" w:cs="微软雅黑"/>
          <w:color w:val="333333"/>
          <w:sz w:val="28"/>
        </w:rPr>
        <w:t>利用民办教育引进人才的优势，从企业一线引进足够的</w:t>
      </w: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双师型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教师充实教师队伍，使</w:t>
      </w: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双师型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教师比例远远高于同类公办院校，实训项目更容易实施，也可以</w:t>
      </w:r>
      <w:r>
        <w:rPr>
          <w:rFonts w:ascii="微软雅黑" w:eastAsia="微软雅黑" w:hAnsi="微软雅黑" w:cs="微软雅黑"/>
          <w:sz w:val="28"/>
        </w:rPr>
        <w:t>最大限度的发挥专任教师的主观能动性，实现教学过程与生产实际的有机结合。</w:t>
      </w:r>
      <w:r>
        <w:rPr>
          <w:rFonts w:ascii="微软雅黑" w:eastAsia="微软雅黑" w:hAnsi="微软雅黑" w:cs="微软雅黑"/>
          <w:color w:val="333333"/>
          <w:sz w:val="28"/>
        </w:rPr>
        <w:t>在教学实践中，</w:t>
      </w:r>
      <w:r>
        <w:rPr>
          <w:rFonts w:ascii="微软雅黑" w:eastAsia="微软雅黑" w:hAnsi="微软雅黑" w:cs="微软雅黑"/>
          <w:color w:val="333333"/>
          <w:sz w:val="28"/>
        </w:rPr>
        <w:t>体现为地方经济建设服务确定教学科研项目，主动为安阳地区的殷商文化、航空运动城市和</w:t>
      </w: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无水港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经济区等标志性工程搞好服务。</w:t>
      </w:r>
      <w:r>
        <w:rPr>
          <w:rFonts w:ascii="微软雅黑" w:eastAsia="微软雅黑" w:hAnsi="微软雅黑" w:cs="微软雅黑"/>
          <w:color w:val="333333"/>
          <w:sz w:val="28"/>
        </w:rPr>
        <w:t xml:space="preserve"> </w:t>
      </w:r>
    </w:p>
    <w:p w:rsidR="002C06F6" w:rsidRDefault="00735564">
      <w:pPr>
        <w:numPr>
          <w:ilvl w:val="0"/>
          <w:numId w:val="1"/>
        </w:numPr>
        <w:spacing w:after="1" w:line="439" w:lineRule="auto"/>
        <w:ind w:firstLine="470"/>
      </w:pPr>
      <w:r>
        <w:rPr>
          <w:rFonts w:ascii="微软雅黑" w:eastAsia="微软雅黑" w:hAnsi="微软雅黑" w:cs="微软雅黑"/>
          <w:sz w:val="28"/>
        </w:rPr>
        <w:t>以综合性、设计性、项目性实验引领实践教学。注重培养软件开发及编程能力的培养，并注重企业实际需求，使学生能更好的把握软件编程与硬件应用的衔接，注重软件开发与硬件接口电路及实际应用能力的培养。以嵌入式（</w:t>
      </w:r>
      <w:r>
        <w:rPr>
          <w:rFonts w:ascii="微软雅黑" w:eastAsia="微软雅黑" w:hAnsi="微软雅黑" w:cs="微软雅黑"/>
          <w:sz w:val="28"/>
        </w:rPr>
        <w:t>ARM</w:t>
      </w:r>
      <w:r>
        <w:rPr>
          <w:rFonts w:ascii="微软雅黑" w:eastAsia="微软雅黑" w:hAnsi="微软雅黑" w:cs="微软雅黑"/>
          <w:sz w:val="28"/>
        </w:rPr>
        <w:t>）技术为依托，瞄准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物联网</w:t>
      </w:r>
    </w:p>
    <w:p w:rsidR="002C06F6" w:rsidRDefault="00735564">
      <w:pPr>
        <w:spacing w:after="254"/>
        <w:ind w:left="-5" w:hanging="10"/>
      </w:pPr>
      <w:r>
        <w:rPr>
          <w:rFonts w:ascii="微软雅黑" w:eastAsia="微软雅黑" w:hAnsi="微软雅黑" w:cs="微软雅黑"/>
          <w:sz w:val="28"/>
        </w:rPr>
        <w:t>+”</w:t>
      </w:r>
      <w:r>
        <w:rPr>
          <w:rFonts w:ascii="微软雅黑" w:eastAsia="微软雅黑" w:hAnsi="微软雅黑" w:cs="微软雅黑"/>
          <w:sz w:val="28"/>
        </w:rPr>
        <w:t>发展方向，与企业实际应用需求接轨。</w:t>
      </w:r>
      <w:r>
        <w:rPr>
          <w:rFonts w:ascii="微软雅黑" w:eastAsia="微软雅黑" w:hAnsi="微软雅黑" w:cs="微软雅黑"/>
          <w:color w:val="333333"/>
          <w:sz w:val="28"/>
        </w:rPr>
        <w:t xml:space="preserve"> </w:t>
      </w:r>
    </w:p>
    <w:p w:rsidR="002C06F6" w:rsidRDefault="00735564">
      <w:pPr>
        <w:numPr>
          <w:ilvl w:val="0"/>
          <w:numId w:val="1"/>
        </w:numPr>
        <w:spacing w:after="1" w:line="439" w:lineRule="auto"/>
        <w:ind w:firstLine="470"/>
      </w:pPr>
      <w:r>
        <w:rPr>
          <w:rFonts w:ascii="微软雅黑" w:eastAsia="微软雅黑" w:hAnsi="微软雅黑" w:cs="微软雅黑"/>
          <w:sz w:val="28"/>
        </w:rPr>
        <w:t>引进企业实际工程案例为实训项目，开展小（短）学期项目实训教学。为了使学生与就业企业实现无缝对接，毕业就能适应</w:t>
      </w:r>
      <w:r>
        <w:rPr>
          <w:rFonts w:ascii="微软雅黑" w:eastAsia="微软雅黑" w:hAnsi="微软雅黑" w:cs="微软雅黑"/>
          <w:sz w:val="28"/>
        </w:rPr>
        <w:lastRenderedPageBreak/>
        <w:t>工作岗位</w:t>
      </w:r>
      <w:r>
        <w:rPr>
          <w:rFonts w:ascii="微软雅黑" w:eastAsia="微软雅黑" w:hAnsi="微软雅黑" w:cs="微软雅黑"/>
          <w:sz w:val="28"/>
        </w:rPr>
        <w:t>，采用校内外多模式项目培训。做到：教学案例有实践来源，项目培训有针对性，让学生学中干、干中学，在校期间了解企业需求，毕业之前能针对需求练能力。以小（短）期（两周时间）实训项目带动实践教学改革，让实际的工程软件项目及</w:t>
      </w:r>
      <w:r>
        <w:rPr>
          <w:rFonts w:ascii="微软雅黑" w:eastAsia="微软雅黑" w:hAnsi="微软雅黑" w:cs="微软雅黑"/>
          <w:sz w:val="28"/>
        </w:rPr>
        <w:t>APP</w:t>
      </w:r>
      <w:r>
        <w:rPr>
          <w:rFonts w:ascii="微软雅黑" w:eastAsia="微软雅黑" w:hAnsi="微软雅黑" w:cs="微软雅黑"/>
          <w:sz w:val="28"/>
        </w:rPr>
        <w:t>制作进入实践环节。</w:t>
      </w:r>
      <w:r>
        <w:rPr>
          <w:rFonts w:ascii="微软雅黑" w:eastAsia="微软雅黑" w:hAnsi="微软雅黑" w:cs="微软雅黑"/>
          <w:sz w:val="28"/>
        </w:rPr>
        <w:t xml:space="preserve"> </w:t>
      </w:r>
    </w:p>
    <w:p w:rsidR="002C06F6" w:rsidRDefault="00735564">
      <w:pPr>
        <w:numPr>
          <w:ilvl w:val="0"/>
          <w:numId w:val="1"/>
        </w:numPr>
        <w:spacing w:after="0" w:line="442" w:lineRule="auto"/>
        <w:ind w:firstLine="470"/>
      </w:pPr>
      <w:r>
        <w:rPr>
          <w:rFonts w:ascii="微软雅黑" w:eastAsia="微软雅黑" w:hAnsi="微软雅黑" w:cs="微软雅黑"/>
          <w:sz w:val="28"/>
        </w:rPr>
        <w:t>实行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书院式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、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工匠式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的</w:t>
      </w:r>
      <w:r>
        <w:rPr>
          <w:rFonts w:ascii="微软雅黑" w:eastAsia="微软雅黑" w:hAnsi="微软雅黑" w:cs="微软雅黑"/>
          <w:sz w:val="28"/>
        </w:rPr>
        <w:t>“</w:t>
      </w:r>
      <w:r>
        <w:rPr>
          <w:rFonts w:ascii="微软雅黑" w:eastAsia="微软雅黑" w:hAnsi="微软雅黑" w:cs="微软雅黑"/>
          <w:sz w:val="28"/>
        </w:rPr>
        <w:t>双师型</w:t>
      </w:r>
      <w:r>
        <w:rPr>
          <w:rFonts w:ascii="微软雅黑" w:eastAsia="微软雅黑" w:hAnsi="微软雅黑" w:cs="微软雅黑"/>
          <w:sz w:val="28"/>
        </w:rPr>
        <w:t>”</w:t>
      </w:r>
      <w:r>
        <w:rPr>
          <w:rFonts w:ascii="微软雅黑" w:eastAsia="微软雅黑" w:hAnsi="微软雅黑" w:cs="微软雅黑"/>
          <w:sz w:val="28"/>
        </w:rPr>
        <w:t>导师制。</w:t>
      </w:r>
      <w:r>
        <w:rPr>
          <w:rFonts w:ascii="微软雅黑" w:eastAsia="微软雅黑" w:hAnsi="微软雅黑" w:cs="微软雅黑"/>
          <w:color w:val="333333"/>
          <w:sz w:val="28"/>
        </w:rPr>
        <w:t>为实现</w:t>
      </w: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应用型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人才培养目标，在部分专业课中开设</w:t>
      </w: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课程设计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，在师范教育的框架下体现工科特色。以</w:t>
      </w: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书院式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模式下</w:t>
      </w: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学高为师、德高为范、行高为表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的师范特色和传统作坊</w:t>
      </w: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工匠式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的师徒关系</w:t>
      </w:r>
    </w:p>
    <w:p w:rsidR="002C06F6" w:rsidRDefault="00735564">
      <w:pPr>
        <w:spacing w:after="0" w:line="442" w:lineRule="auto"/>
        <w:ind w:left="-15"/>
      </w:pP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手把手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言传身教相结合，打造现代化</w:t>
      </w: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工业作坊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模式，培养应用型工程技术人才。</w:t>
      </w:r>
      <w:r>
        <w:rPr>
          <w:rFonts w:ascii="微软雅黑" w:eastAsia="微软雅黑" w:hAnsi="微软雅黑" w:cs="微软雅黑"/>
          <w:color w:val="333333"/>
          <w:sz w:val="28"/>
        </w:rPr>
        <w:t xml:space="preserve"> </w:t>
      </w:r>
    </w:p>
    <w:p w:rsidR="002C06F6" w:rsidRDefault="00735564">
      <w:pPr>
        <w:numPr>
          <w:ilvl w:val="0"/>
          <w:numId w:val="1"/>
        </w:numPr>
        <w:spacing w:after="173" w:line="442" w:lineRule="auto"/>
        <w:ind w:firstLine="470"/>
      </w:pPr>
      <w:r>
        <w:rPr>
          <w:rFonts w:ascii="微软雅黑" w:eastAsia="微软雅黑" w:hAnsi="微软雅黑" w:cs="微软雅黑"/>
          <w:color w:val="333333"/>
          <w:sz w:val="28"/>
        </w:rPr>
        <w:t>对学生提出明确目标，人人</w:t>
      </w:r>
      <w:r>
        <w:rPr>
          <w:rFonts w:ascii="微软雅黑" w:eastAsia="微软雅黑" w:hAnsi="微软雅黑" w:cs="微软雅黑"/>
          <w:color w:val="333333"/>
          <w:sz w:val="28"/>
        </w:rPr>
        <w:t>“</w:t>
      </w:r>
      <w:r>
        <w:rPr>
          <w:rFonts w:ascii="微软雅黑" w:eastAsia="微软雅黑" w:hAnsi="微软雅黑" w:cs="微软雅黑"/>
          <w:color w:val="333333"/>
          <w:sz w:val="28"/>
        </w:rPr>
        <w:t>怀揣七证出校门</w:t>
      </w:r>
      <w:r>
        <w:rPr>
          <w:rFonts w:ascii="微软雅黑" w:eastAsia="微软雅黑" w:hAnsi="微软雅黑" w:cs="微软雅黑"/>
          <w:color w:val="333333"/>
          <w:sz w:val="28"/>
        </w:rPr>
        <w:t>”</w:t>
      </w:r>
      <w:r>
        <w:rPr>
          <w:rFonts w:ascii="微软雅黑" w:eastAsia="微软雅黑" w:hAnsi="微软雅黑" w:cs="微软雅黑"/>
          <w:color w:val="333333"/>
          <w:sz w:val="28"/>
        </w:rPr>
        <w:t>。打造学风浓郁学风，使每个学生在毕业前都要取得七证：</w:t>
      </w:r>
      <w:r>
        <w:rPr>
          <w:rFonts w:ascii="Wingdings 2" w:eastAsia="Wingdings 2" w:hAnsi="Wingdings 2" w:cs="Wingdings 2"/>
          <w:color w:val="333333"/>
          <w:sz w:val="28"/>
        </w:rPr>
        <w:t></w:t>
      </w:r>
      <w:r>
        <w:rPr>
          <w:rFonts w:ascii="微软雅黑" w:eastAsia="微软雅黑" w:hAnsi="微软雅黑" w:cs="微软雅黑"/>
          <w:color w:val="333333"/>
          <w:sz w:val="28"/>
        </w:rPr>
        <w:t>毕业证；</w:t>
      </w:r>
      <w:r>
        <w:rPr>
          <w:rFonts w:ascii="Wingdings 2" w:eastAsia="Wingdings 2" w:hAnsi="Wingdings 2" w:cs="Wingdings 2"/>
          <w:color w:val="333333"/>
          <w:sz w:val="28"/>
        </w:rPr>
        <w:t></w:t>
      </w:r>
      <w:r>
        <w:rPr>
          <w:rFonts w:ascii="微软雅黑" w:eastAsia="微软雅黑" w:hAnsi="微软雅黑" w:cs="微软雅黑"/>
          <w:color w:val="333333"/>
          <w:sz w:val="28"/>
        </w:rPr>
        <w:t>学位证；</w:t>
      </w:r>
      <w:r>
        <w:rPr>
          <w:rFonts w:ascii="Wingdings 2" w:eastAsia="Wingdings 2" w:hAnsi="Wingdings 2" w:cs="Wingdings 2"/>
          <w:color w:val="333333"/>
          <w:sz w:val="28"/>
        </w:rPr>
        <w:t></w:t>
      </w:r>
      <w:r>
        <w:rPr>
          <w:rFonts w:ascii="微软雅黑" w:eastAsia="微软雅黑" w:hAnsi="微软雅黑" w:cs="微软雅黑"/>
          <w:color w:val="333333"/>
          <w:sz w:val="28"/>
        </w:rPr>
        <w:t>大学生英语四、六级证</w:t>
      </w:r>
      <w:r>
        <w:rPr>
          <w:rFonts w:ascii="微软雅黑" w:eastAsia="微软雅黑" w:hAnsi="微软雅黑" w:cs="微软雅黑"/>
          <w:color w:val="333333"/>
          <w:sz w:val="28"/>
        </w:rPr>
        <w:t>/</w:t>
      </w:r>
      <w:r>
        <w:rPr>
          <w:rFonts w:ascii="微软雅黑" w:eastAsia="微软雅黑" w:hAnsi="微软雅黑" w:cs="微软雅黑"/>
          <w:color w:val="333333"/>
          <w:sz w:val="28"/>
        </w:rPr>
        <w:t>专业英语四、八级证；</w:t>
      </w:r>
      <w:r>
        <w:rPr>
          <w:rFonts w:ascii="Wingdings 2" w:eastAsia="Wingdings 2" w:hAnsi="Wingdings 2" w:cs="Wingdings 2"/>
          <w:color w:val="333333"/>
          <w:sz w:val="28"/>
        </w:rPr>
        <w:t></w:t>
      </w:r>
      <w:r>
        <w:rPr>
          <w:rFonts w:ascii="微软雅黑" w:eastAsia="微软雅黑" w:hAnsi="微软雅黑" w:cs="微软雅黑"/>
          <w:color w:val="333333"/>
          <w:sz w:val="28"/>
        </w:rPr>
        <w:t>计算机等</w:t>
      </w:r>
      <w:r>
        <w:rPr>
          <w:rFonts w:ascii="微软雅黑" w:eastAsia="微软雅黑" w:hAnsi="微软雅黑" w:cs="微软雅黑"/>
          <w:color w:val="333333"/>
          <w:sz w:val="28"/>
        </w:rPr>
        <w:lastRenderedPageBreak/>
        <w:t>级证书；</w:t>
      </w:r>
      <w:r>
        <w:rPr>
          <w:rFonts w:ascii="Wingdings 2" w:eastAsia="Wingdings 2" w:hAnsi="Wingdings 2" w:cs="Wingdings 2"/>
          <w:color w:val="333333"/>
          <w:sz w:val="28"/>
        </w:rPr>
        <w:t></w:t>
      </w:r>
      <w:r>
        <w:rPr>
          <w:rFonts w:ascii="微软雅黑" w:eastAsia="微软雅黑" w:hAnsi="微软雅黑" w:cs="微软雅黑"/>
          <w:color w:val="333333"/>
          <w:sz w:val="28"/>
        </w:rPr>
        <w:t>普通话证书；</w:t>
      </w:r>
      <w:r>
        <w:rPr>
          <w:rFonts w:ascii="Wingdings 2" w:eastAsia="Wingdings 2" w:hAnsi="Wingdings 2" w:cs="Wingdings 2"/>
          <w:color w:val="333333"/>
          <w:sz w:val="28"/>
        </w:rPr>
        <w:t></w:t>
      </w:r>
      <w:r>
        <w:rPr>
          <w:rFonts w:ascii="微软雅黑" w:eastAsia="微软雅黑" w:hAnsi="微软雅黑" w:cs="微软雅黑"/>
          <w:color w:val="333333"/>
          <w:sz w:val="28"/>
        </w:rPr>
        <w:t>教师资格证；</w:t>
      </w:r>
      <w:r>
        <w:rPr>
          <w:rFonts w:ascii="Wingdings 2" w:eastAsia="Wingdings 2" w:hAnsi="Wingdings 2" w:cs="Wingdings 2"/>
          <w:color w:val="333333"/>
          <w:sz w:val="28"/>
        </w:rPr>
        <w:t></w:t>
      </w:r>
      <w:r>
        <w:rPr>
          <w:rFonts w:ascii="微软雅黑" w:eastAsia="微软雅黑" w:hAnsi="微软雅黑" w:cs="微软雅黑"/>
          <w:color w:val="333333"/>
          <w:sz w:val="28"/>
        </w:rPr>
        <w:t>各类职业技能资格证（如程序员职业资格证、企业专项培训证等）。</w:t>
      </w:r>
      <w:r>
        <w:rPr>
          <w:rFonts w:ascii="微软雅黑" w:eastAsia="微软雅黑" w:hAnsi="微软雅黑" w:cs="微软雅黑"/>
          <w:color w:val="333333"/>
          <w:sz w:val="28"/>
        </w:rPr>
        <w:t xml:space="preserve"> 7</w:t>
      </w:r>
      <w:r>
        <w:rPr>
          <w:rFonts w:ascii="微软雅黑" w:eastAsia="微软雅黑" w:hAnsi="微软雅黑" w:cs="微软雅黑"/>
          <w:color w:val="333333"/>
          <w:sz w:val="28"/>
        </w:rPr>
        <w:t>、附件（支撑材料）：</w:t>
      </w:r>
      <w:r>
        <w:rPr>
          <w:rFonts w:ascii="微软雅黑" w:eastAsia="微软雅黑" w:hAnsi="微软雅黑" w:cs="微软雅黑"/>
          <w:color w:val="333333"/>
          <w:sz w:val="28"/>
        </w:rPr>
        <w:t xml:space="preserve"> </w:t>
      </w:r>
    </w:p>
    <w:p w:rsidR="002C06F6" w:rsidRDefault="00735564">
      <w:pPr>
        <w:numPr>
          <w:ilvl w:val="0"/>
          <w:numId w:val="2"/>
        </w:numPr>
        <w:spacing w:after="575" w:line="270" w:lineRule="auto"/>
        <w:ind w:hanging="701"/>
      </w:pPr>
      <w:r>
        <w:rPr>
          <w:rFonts w:ascii="微软雅黑" w:eastAsia="微软雅黑" w:hAnsi="微软雅黑" w:cs="微软雅黑"/>
          <w:sz w:val="32"/>
        </w:rPr>
        <w:t>安阳学院课程设计管理办法（试行）；</w:t>
      </w:r>
      <w:r>
        <w:rPr>
          <w:rFonts w:ascii="微软雅黑" w:eastAsia="微软雅黑" w:hAnsi="微软雅黑" w:cs="微软雅黑"/>
          <w:sz w:val="32"/>
        </w:rPr>
        <w:t xml:space="preserve"> </w:t>
      </w:r>
    </w:p>
    <w:p w:rsidR="002C06F6" w:rsidRDefault="00735564">
      <w:pPr>
        <w:numPr>
          <w:ilvl w:val="0"/>
          <w:numId w:val="2"/>
        </w:numPr>
        <w:spacing w:after="459" w:line="270" w:lineRule="auto"/>
        <w:ind w:hanging="701"/>
      </w:pPr>
      <w:r>
        <w:rPr>
          <w:rFonts w:ascii="微软雅黑" w:eastAsia="微软雅黑" w:hAnsi="微软雅黑" w:cs="微软雅黑"/>
          <w:sz w:val="32"/>
        </w:rPr>
        <w:t>安阳师范学院人文管理学院实验室开放管理规定。</w:t>
      </w:r>
      <w:r>
        <w:rPr>
          <w:rFonts w:ascii="微软雅黑" w:eastAsia="微软雅黑" w:hAnsi="微软雅黑" w:cs="微软雅黑"/>
          <w:color w:val="333333"/>
          <w:sz w:val="28"/>
        </w:rPr>
        <w:t xml:space="preserve"> </w:t>
      </w:r>
    </w:p>
    <w:p w:rsidR="002C06F6" w:rsidRDefault="00735564">
      <w:pPr>
        <w:spacing w:after="547"/>
        <w:ind w:left="646"/>
      </w:pPr>
      <w:r>
        <w:rPr>
          <w:rFonts w:ascii="微软雅黑" w:eastAsia="微软雅黑" w:hAnsi="微软雅黑" w:cs="微软雅黑"/>
          <w:color w:val="333333"/>
          <w:sz w:val="28"/>
        </w:rPr>
        <w:t xml:space="preserve"> </w:t>
      </w:r>
    </w:p>
    <w:p w:rsidR="002C06F6" w:rsidRDefault="00735564">
      <w:pPr>
        <w:spacing w:after="0"/>
        <w:ind w:left="646"/>
      </w:pPr>
      <w:r>
        <w:rPr>
          <w:rFonts w:ascii="微软雅黑" w:eastAsia="微软雅黑" w:hAnsi="微软雅黑" w:cs="微软雅黑"/>
          <w:color w:val="333333"/>
          <w:sz w:val="32"/>
        </w:rPr>
        <w:t xml:space="preserve"> </w:t>
      </w:r>
    </w:p>
    <w:sectPr w:rsidR="002C06F6">
      <w:footerReference w:type="even" r:id="rId17"/>
      <w:footerReference w:type="default" r:id="rId18"/>
      <w:footerReference w:type="first" r:id="rId19"/>
      <w:pgSz w:w="11906" w:h="16838"/>
      <w:pgMar w:top="1546" w:right="1822" w:bottom="1840" w:left="1800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35564">
      <w:pPr>
        <w:spacing w:after="0" w:line="240" w:lineRule="auto"/>
      </w:pPr>
      <w:r>
        <w:separator/>
      </w:r>
    </w:p>
  </w:endnote>
  <w:endnote w:type="continuationSeparator" w:id="0">
    <w:p w:rsidR="00000000" w:rsidRDefault="0073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6F6" w:rsidRDefault="00735564">
    <w:pPr>
      <w:spacing w:after="0"/>
      <w:ind w:right="16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:rsidR="002C06F6" w:rsidRDefault="00735564">
    <w:pPr>
      <w:spacing w:after="0"/>
    </w:pP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6F6" w:rsidRDefault="00735564">
    <w:pPr>
      <w:spacing w:after="0"/>
      <w:ind w:right="16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35564"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:rsidR="002C06F6" w:rsidRDefault="00735564">
    <w:pPr>
      <w:spacing w:after="0"/>
    </w:pP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6F6" w:rsidRDefault="00735564">
    <w:pPr>
      <w:spacing w:after="0"/>
      <w:ind w:right="16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:rsidR="002C06F6" w:rsidRDefault="00735564">
    <w:pPr>
      <w:spacing w:after="0"/>
    </w:pP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35564">
      <w:pPr>
        <w:spacing w:after="0" w:line="240" w:lineRule="auto"/>
      </w:pPr>
      <w:r>
        <w:separator/>
      </w:r>
    </w:p>
  </w:footnote>
  <w:footnote w:type="continuationSeparator" w:id="0">
    <w:p w:rsidR="00000000" w:rsidRDefault="00735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4E22"/>
    <w:multiLevelType w:val="hybridMultilevel"/>
    <w:tmpl w:val="53B0D97A"/>
    <w:lvl w:ilvl="0" w:tplc="B99AD0D8">
      <w:start w:val="1"/>
      <w:numFmt w:val="decimal"/>
      <w:lvlText w:val="（%1）"/>
      <w:lvlJc w:val="left"/>
      <w:pPr>
        <w:ind w:left="12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C66E94">
      <w:start w:val="1"/>
      <w:numFmt w:val="lowerLetter"/>
      <w:lvlText w:val="%2"/>
      <w:lvlJc w:val="left"/>
      <w:pPr>
        <w:ind w:left="11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2CE83C">
      <w:start w:val="1"/>
      <w:numFmt w:val="lowerRoman"/>
      <w:lvlText w:val="%3"/>
      <w:lvlJc w:val="left"/>
      <w:pPr>
        <w:ind w:left="18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909E56">
      <w:start w:val="1"/>
      <w:numFmt w:val="decimal"/>
      <w:lvlText w:val="%4"/>
      <w:lvlJc w:val="left"/>
      <w:pPr>
        <w:ind w:left="25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144D54">
      <w:start w:val="1"/>
      <w:numFmt w:val="lowerLetter"/>
      <w:lvlText w:val="%5"/>
      <w:lvlJc w:val="left"/>
      <w:pPr>
        <w:ind w:left="32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727250">
      <w:start w:val="1"/>
      <w:numFmt w:val="lowerRoman"/>
      <w:lvlText w:val="%6"/>
      <w:lvlJc w:val="left"/>
      <w:pPr>
        <w:ind w:left="40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347F20">
      <w:start w:val="1"/>
      <w:numFmt w:val="decimal"/>
      <w:lvlText w:val="%7"/>
      <w:lvlJc w:val="left"/>
      <w:pPr>
        <w:ind w:left="47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A42CB2">
      <w:start w:val="1"/>
      <w:numFmt w:val="lowerLetter"/>
      <w:lvlText w:val="%8"/>
      <w:lvlJc w:val="left"/>
      <w:pPr>
        <w:ind w:left="54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ECB1AA">
      <w:start w:val="1"/>
      <w:numFmt w:val="lowerRoman"/>
      <w:lvlText w:val="%9"/>
      <w:lvlJc w:val="left"/>
      <w:pPr>
        <w:ind w:left="61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125595"/>
    <w:multiLevelType w:val="hybridMultilevel"/>
    <w:tmpl w:val="D7B2680E"/>
    <w:lvl w:ilvl="0" w:tplc="6D42ED6C">
      <w:start w:val="1"/>
      <w:numFmt w:val="decimal"/>
      <w:lvlText w:val="%1、"/>
      <w:lvlJc w:val="left"/>
      <w:pPr>
        <w:ind w:left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5A947C">
      <w:start w:val="1"/>
      <w:numFmt w:val="lowerLetter"/>
      <w:lvlText w:val="%2"/>
      <w:lvlJc w:val="left"/>
      <w:pPr>
        <w:ind w:left="15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8218F0">
      <w:start w:val="1"/>
      <w:numFmt w:val="lowerRoman"/>
      <w:lvlText w:val="%3"/>
      <w:lvlJc w:val="left"/>
      <w:pPr>
        <w:ind w:left="23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881218">
      <w:start w:val="1"/>
      <w:numFmt w:val="decimal"/>
      <w:lvlText w:val="%4"/>
      <w:lvlJc w:val="left"/>
      <w:pPr>
        <w:ind w:left="30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1839C8">
      <w:start w:val="1"/>
      <w:numFmt w:val="lowerLetter"/>
      <w:lvlText w:val="%5"/>
      <w:lvlJc w:val="left"/>
      <w:pPr>
        <w:ind w:left="37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64E3CE">
      <w:start w:val="1"/>
      <w:numFmt w:val="lowerRoman"/>
      <w:lvlText w:val="%6"/>
      <w:lvlJc w:val="left"/>
      <w:pPr>
        <w:ind w:left="44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A2ADE2">
      <w:start w:val="1"/>
      <w:numFmt w:val="decimal"/>
      <w:lvlText w:val="%7"/>
      <w:lvlJc w:val="left"/>
      <w:pPr>
        <w:ind w:left="51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44D308">
      <w:start w:val="1"/>
      <w:numFmt w:val="lowerLetter"/>
      <w:lvlText w:val="%8"/>
      <w:lvlJc w:val="left"/>
      <w:pPr>
        <w:ind w:left="59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6EBF9C">
      <w:start w:val="1"/>
      <w:numFmt w:val="lowerRoman"/>
      <w:lvlText w:val="%9"/>
      <w:lvlJc w:val="left"/>
      <w:pPr>
        <w:ind w:left="66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F6"/>
    <w:rsid w:val="002C06F6"/>
    <w:rsid w:val="0073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18CB2-9BFE-4DA4-B034-25650319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0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WZA</dc:creator>
  <cp:keywords/>
  <cp:lastModifiedBy>USER</cp:lastModifiedBy>
  <cp:revision>2</cp:revision>
  <dcterms:created xsi:type="dcterms:W3CDTF">2019-04-12T09:26:00Z</dcterms:created>
  <dcterms:modified xsi:type="dcterms:W3CDTF">2019-04-12T09:26:00Z</dcterms:modified>
</cp:coreProperties>
</file>