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F87"/>
          <w:sz w:val="56"/>
        </w:rPr>
        <w:t>DMRC VENDOR REGISTRATION PORTAL</w:t>
      </w:r>
    </w:p>
    <w:p>
      <w:pPr>
        <w:jc w:val="center"/>
      </w:pPr>
      <w:r>
        <w:rPr>
          <w:rFonts w:ascii="Calibri" w:hAnsi="Calibri"/>
          <w:color w:val="0052B0"/>
          <w:sz w:val="40"/>
        </w:rPr>
        <w:t>Project Master Report</w:t>
      </w:r>
    </w:p>
    <w:p>
      <w:pPr>
        <w:jc w:val="center"/>
      </w:pPr>
      <w:r>
        <w:rPr>
          <w:color w:val="F5A623"/>
          <w:sz w:val="28"/>
        </w:rPr>
        <w:t>━━━━━━━━━━━━━━━━━━━━━━━━━━━━━━━━━━━━━━━━━━━━━━━━━━</w:t>
      </w:r>
    </w:p>
    <w:p/>
    <w:tbl>
      <w:tblPr>
        <w:tblW w:type="auto" w:w="0"/>
        <w:jc w:val="center"/>
        <w:tblLook w:firstColumn="1" w:firstRow="1" w:lastColumn="0" w:lastRow="0" w:noHBand="0" w:noVBand="1" w:val="04A0"/>
      </w:tblPr>
      <w:tblGrid>
        <w:gridCol w:w="4680"/>
        <w:gridCol w:w="4680"/>
      </w:tblGrid>
      <w:tr>
        <w:tc>
          <w:tcPr>
            <w:tcW w:type="dxa" w:w="3600"/>
            <w:tcBorders>
              <w:top w:val="none" w:sz="0" w:space="0"/>
              <w:left w:val="none" w:sz="0" w:space="0"/>
              <w:bottom w:val="none" w:sz="0" w:space="0"/>
              <w:right w:val="none" w:sz="0" w:space="0"/>
            </w:tcBorders>
          </w:tcPr>
          <w:p>
            <w:pPr>
              <w:jc w:val="right"/>
            </w:pPr>
            <w:r>
              <w:rPr>
                <w:rFonts w:ascii="Calibri" w:hAnsi="Calibri"/>
                <w:b/>
                <w:color w:val="003F87"/>
                <w:sz w:val="24"/>
              </w:rPr>
              <w:t>Project Title</w:t>
            </w:r>
          </w:p>
        </w:tc>
        <w:tc>
          <w:tcPr>
            <w:tcW w:type="dxa" w:w="5760"/>
            <w:tcBorders>
              <w:top w:val="none" w:sz="0" w:space="0"/>
              <w:left w:val="none" w:sz="0" w:space="0"/>
              <w:bottom w:val="none" w:sz="0" w:space="0"/>
              <w:right w:val="none" w:sz="0" w:space="0"/>
            </w:tcBorders>
          </w:tcPr>
          <w:p>
            <w:r>
              <w:rPr>
                <w:rFonts w:ascii="Calibri" w:hAnsi="Calibri"/>
                <w:sz w:val="24"/>
              </w:rPr>
              <w:t>DMRC Vendor Registration Portal</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4"/>
              </w:rPr>
              <w:t>Version</w:t>
            </w:r>
          </w:p>
        </w:tc>
        <w:tc>
          <w:tcPr>
            <w:tcW w:type="dxa" w:w="5760"/>
            <w:tcBorders>
              <w:top w:val="none" w:sz="0" w:space="0"/>
              <w:left w:val="none" w:sz="0" w:space="0"/>
              <w:bottom w:val="none" w:sz="0" w:space="0"/>
              <w:right w:val="none" w:sz="0" w:space="0"/>
            </w:tcBorders>
          </w:tcPr>
          <w:p>
            <w:r>
              <w:rPr>
                <w:rFonts w:ascii="Calibri" w:hAnsi="Calibri"/>
                <w:sz w:val="24"/>
              </w:rPr>
              <w:t>0.1.0</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4"/>
              </w:rPr>
              <w:t>Repository</w:t>
            </w:r>
          </w:p>
        </w:tc>
        <w:tc>
          <w:tcPr>
            <w:tcW w:type="dxa" w:w="5760"/>
            <w:tcBorders>
              <w:top w:val="none" w:sz="0" w:space="0"/>
              <w:left w:val="none" w:sz="0" w:space="0"/>
              <w:bottom w:val="none" w:sz="0" w:space="0"/>
              <w:right w:val="none" w:sz="0" w:space="0"/>
            </w:tcBorders>
          </w:tcPr>
          <w:p>
            <w:r>
              <w:rPr>
                <w:rFonts w:ascii="Calibri" w:hAnsi="Calibri"/>
                <w:sz w:val="24"/>
              </w:rPr>
              <w:t>github.com/CompSomay1/Vendor_forms</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4"/>
              </w:rPr>
              <w:t>Team Size</w:t>
            </w:r>
          </w:p>
        </w:tc>
        <w:tc>
          <w:tcPr>
            <w:tcW w:type="dxa" w:w="5760"/>
            <w:tcBorders>
              <w:top w:val="none" w:sz="0" w:space="0"/>
              <w:left w:val="none" w:sz="0" w:space="0"/>
              <w:bottom w:val="none" w:sz="0" w:space="0"/>
              <w:right w:val="none" w:sz="0" w:space="0"/>
            </w:tcBorders>
          </w:tcPr>
          <w:p>
            <w:r>
              <w:rPr>
                <w:rFonts w:ascii="Calibri" w:hAnsi="Calibri"/>
                <w:sz w:val="24"/>
              </w:rPr>
              <w:t>2 Developers</w:t>
            </w:r>
          </w:p>
        </w:tc>
      </w:tr>
      <w:tr>
        <w:tc>
          <w:tcPr>
            <w:tcW w:type="dxa" w:w="3600"/>
            <w:tcBorders>
              <w:top w:val="none" w:sz="0" w:space="0"/>
              <w:left w:val="none" w:sz="0" w:space="0"/>
              <w:bottom w:val="none" w:sz="0" w:space="0"/>
              <w:right w:val="none" w:sz="0" w:space="0"/>
            </w:tcBorders>
          </w:tcPr>
          <w:p>
            <w:pPr>
              <w:jc w:val="right"/>
            </w:pPr>
            <w:r>
              <w:rPr>
                <w:rFonts w:ascii="Calibri" w:hAnsi="Calibri"/>
                <w:b/>
                <w:color w:val="003F87"/>
                <w:sz w:val="24"/>
              </w:rPr>
              <w:t>Report Date</w:t>
            </w:r>
          </w:p>
        </w:tc>
        <w:tc>
          <w:tcPr>
            <w:tcW w:type="dxa" w:w="5760"/>
            <w:tcBorders>
              <w:top w:val="none" w:sz="0" w:space="0"/>
              <w:left w:val="none" w:sz="0" w:space="0"/>
              <w:bottom w:val="none" w:sz="0" w:space="0"/>
              <w:right w:val="none" w:sz="0" w:space="0"/>
            </w:tcBorders>
          </w:tcPr>
          <w:p>
            <w:r>
              <w:rPr>
                <w:rFonts w:ascii="Calibri" w:hAnsi="Calibri"/>
                <w:sz w:val="24"/>
              </w:rPr>
              <w:t>June 30, 2026</w:t>
            </w:r>
          </w:p>
        </w:tc>
      </w:tr>
    </w:tbl>
    <w:p/>
    <w:p/>
    <w:p>
      <w:pPr>
        <w:jc w:val="center"/>
      </w:pPr>
      <w:r>
        <w:rPr>
          <w:rFonts w:ascii="Calibri" w:hAnsi="Calibri"/>
          <w:i/>
          <w:color w:val="999999"/>
          <w:sz w:val="20"/>
        </w:rPr>
        <w:t>CONFIDENTIAL — FOR INTERNAL USE ONLY</w:t>
      </w:r>
    </w:p>
    <w:p>
      <w:r>
        <w:br w:type="page"/>
      </w:r>
    </w:p>
    <w:p>
      <w:pPr>
        <w:pStyle w:val="Heading1"/>
      </w:pPr>
      <w:r>
        <w:t>Table of Contents</w:t>
      </w:r>
    </w:p>
    <w:p>
      <w:pPr>
        <w:spacing w:after="40"/>
        <w:ind w:left="0"/>
      </w:pPr>
      <w:r>
        <w:rPr>
          <w:rFonts w:ascii="Calibri" w:hAnsi="Calibri"/>
          <w:b/>
          <w:color w:val="003F87"/>
          <w:sz w:val="24"/>
        </w:rPr>
        <w:t>1. Executive Summary</w:t>
      </w:r>
    </w:p>
    <w:p>
      <w:pPr>
        <w:spacing w:after="40"/>
        <w:ind w:left="0"/>
      </w:pPr>
      <w:r>
        <w:rPr>
          <w:rFonts w:ascii="Calibri" w:hAnsi="Calibri"/>
          <w:b/>
          <w:color w:val="003F87"/>
          <w:sz w:val="24"/>
        </w:rPr>
        <w:t>2. Technology Stack &amp; Justification</w:t>
      </w:r>
    </w:p>
    <w:p>
      <w:pPr>
        <w:spacing w:after="40"/>
        <w:ind w:left="576"/>
      </w:pPr>
      <w:r>
        <w:rPr>
          <w:rFonts w:ascii="Calibri" w:hAnsi="Calibri"/>
          <w:color w:val="333333"/>
          <w:sz w:val="22"/>
        </w:rPr>
        <w:t>2.1 Frontend / UI Layer</w:t>
      </w:r>
    </w:p>
    <w:p>
      <w:pPr>
        <w:spacing w:after="40"/>
        <w:ind w:left="576"/>
      </w:pPr>
      <w:r>
        <w:rPr>
          <w:rFonts w:ascii="Calibri" w:hAnsi="Calibri"/>
          <w:color w:val="333333"/>
          <w:sz w:val="22"/>
        </w:rPr>
        <w:t>2.2 Backend / Core Logic Layer</w:t>
      </w:r>
    </w:p>
    <w:p>
      <w:pPr>
        <w:spacing w:after="40"/>
        <w:ind w:left="576"/>
      </w:pPr>
      <w:r>
        <w:rPr>
          <w:rFonts w:ascii="Calibri" w:hAnsi="Calibri"/>
          <w:color w:val="333333"/>
          <w:sz w:val="22"/>
        </w:rPr>
        <w:t>2.3 Database &amp; Storage Layer</w:t>
      </w:r>
    </w:p>
    <w:p>
      <w:pPr>
        <w:spacing w:after="40"/>
        <w:ind w:left="576"/>
      </w:pPr>
      <w:r>
        <w:rPr>
          <w:rFonts w:ascii="Calibri" w:hAnsi="Calibri"/>
          <w:color w:val="333333"/>
          <w:sz w:val="22"/>
        </w:rPr>
        <w:t>2.4 Infrastructure &amp; Deployment</w:t>
      </w:r>
    </w:p>
    <w:p>
      <w:pPr>
        <w:spacing w:after="40"/>
        <w:ind w:left="0"/>
      </w:pPr>
      <w:r>
        <w:rPr>
          <w:rFonts w:ascii="Calibri" w:hAnsi="Calibri"/>
          <w:b/>
          <w:color w:val="003F87"/>
          <w:sz w:val="24"/>
        </w:rPr>
        <w:t>3. System Architecture &amp; Data Flow</w:t>
      </w:r>
    </w:p>
    <w:p>
      <w:pPr>
        <w:spacing w:after="40"/>
        <w:ind w:left="576"/>
      </w:pPr>
      <w:r>
        <w:rPr>
          <w:rFonts w:ascii="Calibri" w:hAnsi="Calibri"/>
          <w:color w:val="333333"/>
          <w:sz w:val="22"/>
        </w:rPr>
        <w:t>3.1 High-Level Architecture</w:t>
      </w:r>
    </w:p>
    <w:p>
      <w:pPr>
        <w:spacing w:after="40"/>
        <w:ind w:left="576"/>
      </w:pPr>
      <w:r>
        <w:rPr>
          <w:rFonts w:ascii="Calibri" w:hAnsi="Calibri"/>
          <w:color w:val="333333"/>
          <w:sz w:val="22"/>
        </w:rPr>
        <w:t>3.2 Standard Request Flow</w:t>
      </w:r>
    </w:p>
    <w:p>
      <w:pPr>
        <w:spacing w:after="40"/>
        <w:ind w:left="576"/>
      </w:pPr>
      <w:r>
        <w:rPr>
          <w:rFonts w:ascii="Calibri" w:hAnsi="Calibri"/>
          <w:color w:val="333333"/>
          <w:sz w:val="22"/>
        </w:rPr>
        <w:t>3.3 Database Integration</w:t>
      </w:r>
    </w:p>
    <w:p>
      <w:pPr>
        <w:spacing w:after="40"/>
        <w:ind w:left="576"/>
      </w:pPr>
      <w:r>
        <w:rPr>
          <w:rFonts w:ascii="Calibri" w:hAnsi="Calibri"/>
          <w:color w:val="333333"/>
          <w:sz w:val="22"/>
        </w:rPr>
        <w:t>3.4 Security &amp; Authentication</w:t>
      </w:r>
    </w:p>
    <w:p>
      <w:pPr>
        <w:spacing w:after="40"/>
        <w:ind w:left="0"/>
      </w:pPr>
      <w:r>
        <w:rPr>
          <w:rFonts w:ascii="Calibri" w:hAnsi="Calibri"/>
          <w:b/>
          <w:color w:val="003F87"/>
          <w:sz w:val="24"/>
        </w:rPr>
        <w:t>4. Development Lifecycle (Week-by-Week)</w:t>
      </w:r>
    </w:p>
    <w:p>
      <w:pPr>
        <w:spacing w:after="40"/>
        <w:ind w:left="576"/>
      </w:pPr>
      <w:r>
        <w:rPr>
          <w:rFonts w:ascii="Calibri" w:hAnsi="Calibri"/>
          <w:color w:val="333333"/>
          <w:sz w:val="22"/>
        </w:rPr>
        <w:t>4.1 Week 1: Planning &amp; Foundation</w:t>
      </w:r>
    </w:p>
    <w:p>
      <w:pPr>
        <w:spacing w:after="40"/>
        <w:ind w:left="576"/>
      </w:pPr>
      <w:r>
        <w:rPr>
          <w:rFonts w:ascii="Calibri" w:hAnsi="Calibri"/>
          <w:color w:val="333333"/>
          <w:sz w:val="22"/>
        </w:rPr>
        <w:t>4.2 Week 2: Architecture &amp; Civil Forms</w:t>
      </w:r>
    </w:p>
    <w:p>
      <w:pPr>
        <w:spacing w:after="40"/>
        <w:ind w:left="576"/>
      </w:pPr>
      <w:r>
        <w:rPr>
          <w:rFonts w:ascii="Calibri" w:hAnsi="Calibri"/>
          <w:color w:val="333333"/>
          <w:sz w:val="22"/>
        </w:rPr>
        <w:t>4.3 Week 3: Civil &amp; Electrical Forms</w:t>
      </w:r>
    </w:p>
    <w:p>
      <w:pPr>
        <w:spacing w:after="40"/>
        <w:ind w:left="576"/>
      </w:pPr>
      <w:r>
        <w:rPr>
          <w:rFonts w:ascii="Calibri" w:hAnsi="Calibri"/>
          <w:color w:val="333333"/>
          <w:sz w:val="22"/>
        </w:rPr>
        <w:t>4.4 Week 4: Integration &amp; Final Build</w:t>
      </w:r>
    </w:p>
    <w:p>
      <w:pPr>
        <w:spacing w:after="40"/>
        <w:ind w:left="0"/>
      </w:pPr>
      <w:r>
        <w:rPr>
          <w:rFonts w:ascii="Calibri" w:hAnsi="Calibri"/>
          <w:b/>
          <w:color w:val="003F87"/>
          <w:sz w:val="24"/>
        </w:rPr>
        <w:t>5. Key Technical Challenges Overcome</w:t>
      </w:r>
    </w:p>
    <w:p>
      <w:pPr>
        <w:spacing w:after="40"/>
        <w:ind w:left="0"/>
      </w:pPr>
      <w:r>
        <w:rPr>
          <w:rFonts w:ascii="Calibri" w:hAnsi="Calibri"/>
          <w:b/>
          <w:color w:val="003F87"/>
          <w:sz w:val="24"/>
        </w:rPr>
        <w:t>6. Future Scope &amp; Scalability</w:t>
      </w:r>
    </w:p>
    <w:p>
      <w:pPr>
        <w:spacing w:after="40"/>
        <w:ind w:left="0"/>
      </w:pPr>
      <w:r>
        <w:rPr>
          <w:rFonts w:ascii="Calibri" w:hAnsi="Calibri"/>
          <w:b/>
          <w:color w:val="003F87"/>
          <w:sz w:val="24"/>
        </w:rPr>
        <w:t>Appendix A: File Inventory &amp; API Endpoints</w:t>
      </w:r>
    </w:p>
    <w:p>
      <w:pPr>
        <w:spacing w:after="40"/>
        <w:ind w:left="0"/>
      </w:pPr>
      <w:r>
        <w:rPr>
          <w:rFonts w:ascii="Calibri" w:hAnsi="Calibri"/>
          <w:b/>
          <w:color w:val="003F87"/>
          <w:sz w:val="24"/>
        </w:rPr>
        <w:t>Appendix B: Database Schema (SQL)</w:t>
      </w:r>
    </w:p>
    <w:p>
      <w:r>
        <w:br w:type="page"/>
      </w:r>
    </w:p>
    <w:p>
      <w:pPr>
        <w:pStyle w:val="Heading1"/>
      </w:pPr>
      <w:r>
        <w:t>1. Executive Summary</w:t>
      </w:r>
    </w:p>
    <w:tbl>
      <w:tblPr>
        <w:tblStyle w:val="TableGrid"/>
        <w:tblW w:type="auto" w:w="0"/>
        <w:jc w:val="center"/>
        <w:tblLook w:firstColumn="1" w:firstRow="1" w:lastColumn="0" w:lastRow="0" w:noHBand="0" w:noVBand="1" w:val="04A0"/>
      </w:tblPr>
      <w:tblGrid>
        <w:gridCol w:w="4680"/>
        <w:gridCol w:w="4680"/>
      </w:tblGrid>
      <w:tr>
        <w:tc>
          <w:tcPr>
            <w:tcW w:type="dxa" w:w="2880"/>
            <w:shd w:fill="003F87" w:val="clear"/>
          </w:tcPr>
          <w:p>
            <w:pPr>
              <w:jc w:val="left"/>
            </w:pPr>
            <w:r>
              <w:rPr>
                <w:rFonts w:ascii="Calibri" w:hAnsi="Calibri"/>
                <w:b/>
                <w:color w:val="FFFFFF"/>
                <w:sz w:val="20"/>
              </w:rPr>
              <w:t>Field</w:t>
            </w:r>
          </w:p>
        </w:tc>
        <w:tc>
          <w:tcPr>
            <w:tcW w:type="dxa" w:w="6480"/>
            <w:shd w:fill="003F87" w:val="clear"/>
          </w:tcPr>
          <w:p>
            <w:pPr>
              <w:jc w:val="left"/>
            </w:pPr>
            <w:r>
              <w:rPr>
                <w:rFonts w:ascii="Calibri" w:hAnsi="Calibri"/>
                <w:b/>
                <w:color w:val="FFFFFF"/>
                <w:sz w:val="20"/>
              </w:rPr>
              <w:t>Detail</w:t>
            </w:r>
          </w:p>
        </w:tc>
      </w:tr>
      <w:tr>
        <w:tc>
          <w:tcPr>
            <w:tcW w:type="dxa" w:w="2880"/>
          </w:tcPr>
          <w:p>
            <w:r>
              <w:rPr>
                <w:rFonts w:ascii="Calibri" w:hAnsi="Calibri"/>
                <w:color w:val="333333"/>
                <w:sz w:val="20"/>
              </w:rPr>
              <w:t>Project Title</w:t>
            </w:r>
          </w:p>
        </w:tc>
        <w:tc>
          <w:tcPr>
            <w:tcW w:type="dxa" w:w="6480"/>
          </w:tcPr>
          <w:p>
            <w:r>
              <w:rPr>
                <w:rFonts w:ascii="Calibri" w:hAnsi="Calibri"/>
                <w:color w:val="333333"/>
                <w:sz w:val="20"/>
              </w:rPr>
              <w:t>DMRC Vendor Registration Portal</w:t>
            </w:r>
          </w:p>
        </w:tc>
      </w:tr>
      <w:tr>
        <w:tc>
          <w:tcPr>
            <w:tcW w:type="dxa" w:w="2880"/>
            <w:shd w:fill="F0F4FA" w:val="clear"/>
          </w:tcPr>
          <w:p>
            <w:r>
              <w:rPr>
                <w:rFonts w:ascii="Calibri" w:hAnsi="Calibri"/>
                <w:color w:val="333333"/>
                <w:sz w:val="20"/>
              </w:rPr>
              <w:t>Core Problem</w:t>
            </w:r>
          </w:p>
        </w:tc>
        <w:tc>
          <w:tcPr>
            <w:tcW w:type="dxa" w:w="6480"/>
            <w:shd w:fill="F0F4FA" w:val="clear"/>
          </w:tcPr>
          <w:p>
            <w:r>
              <w:rPr>
                <w:rFonts w:ascii="Calibri" w:hAnsi="Calibri"/>
                <w:color w:val="333333"/>
                <w:sz w:val="20"/>
              </w:rPr>
              <w:t>Digitise DMRC's paper-based vendor registration process</w:t>
            </w:r>
          </w:p>
        </w:tc>
      </w:tr>
      <w:tr>
        <w:tc>
          <w:tcPr>
            <w:tcW w:type="dxa" w:w="2880"/>
          </w:tcPr>
          <w:p>
            <w:r>
              <w:rPr>
                <w:rFonts w:ascii="Calibri" w:hAnsi="Calibri"/>
                <w:color w:val="333333"/>
                <w:sz w:val="20"/>
              </w:rPr>
              <w:t>Final Deliverable</w:t>
            </w:r>
          </w:p>
        </w:tc>
        <w:tc>
          <w:tcPr>
            <w:tcW w:type="dxa" w:w="6480"/>
          </w:tcPr>
          <w:p>
            <w:r>
              <w:rPr>
                <w:rFonts w:ascii="Calibri" w:hAnsi="Calibri"/>
                <w:color w:val="333333"/>
                <w:sz w:val="20"/>
              </w:rPr>
              <w:t>Full-stack web application (Next.js + PostgreSQL)</w:t>
            </w:r>
          </w:p>
        </w:tc>
      </w:tr>
      <w:tr>
        <w:tc>
          <w:tcPr>
            <w:tcW w:type="dxa" w:w="2880"/>
            <w:shd w:fill="F0F4FA" w:val="clear"/>
          </w:tcPr>
          <w:p>
            <w:r>
              <w:rPr>
                <w:rFonts w:ascii="Calibri" w:hAnsi="Calibri"/>
                <w:color w:val="333333"/>
                <w:sz w:val="20"/>
              </w:rPr>
              <w:t>Version</w:t>
            </w:r>
          </w:p>
        </w:tc>
        <w:tc>
          <w:tcPr>
            <w:tcW w:type="dxa" w:w="6480"/>
            <w:shd w:fill="F0F4FA" w:val="clear"/>
          </w:tcPr>
          <w:p>
            <w:r>
              <w:rPr>
                <w:rFonts w:ascii="Calibri" w:hAnsi="Calibri"/>
                <w:color w:val="333333"/>
                <w:sz w:val="20"/>
              </w:rPr>
              <w:t>0.1.0</w:t>
            </w:r>
          </w:p>
        </w:tc>
      </w:tr>
      <w:tr>
        <w:tc>
          <w:tcPr>
            <w:tcW w:type="dxa" w:w="2880"/>
          </w:tcPr>
          <w:p>
            <w:r>
              <w:rPr>
                <w:rFonts w:ascii="Calibri" w:hAnsi="Calibri"/>
                <w:color w:val="333333"/>
                <w:sz w:val="20"/>
              </w:rPr>
              <w:t>Team Size</w:t>
            </w:r>
          </w:p>
        </w:tc>
        <w:tc>
          <w:tcPr>
            <w:tcW w:type="dxa" w:w="6480"/>
          </w:tcPr>
          <w:p>
            <w:r>
              <w:rPr>
                <w:rFonts w:ascii="Calibri" w:hAnsi="Calibri"/>
                <w:color w:val="333333"/>
                <w:sz w:val="20"/>
              </w:rPr>
              <w:t>2 developers</w:t>
            </w:r>
          </w:p>
        </w:tc>
      </w:tr>
      <w:tr>
        <w:tc>
          <w:tcPr>
            <w:tcW w:type="dxa" w:w="2880"/>
            <w:shd w:fill="F0F4FA" w:val="clear"/>
          </w:tcPr>
          <w:p>
            <w:r>
              <w:rPr>
                <w:rFonts w:ascii="Calibri" w:hAnsi="Calibri"/>
                <w:color w:val="333333"/>
                <w:sz w:val="20"/>
              </w:rPr>
              <w:t>Repository</w:t>
            </w:r>
          </w:p>
        </w:tc>
        <w:tc>
          <w:tcPr>
            <w:tcW w:type="dxa" w:w="6480"/>
            <w:shd w:fill="F0F4FA" w:val="clear"/>
          </w:tcPr>
          <w:p>
            <w:r>
              <w:rPr>
                <w:rFonts w:ascii="Calibri" w:hAnsi="Calibri"/>
                <w:color w:val="333333"/>
                <w:sz w:val="20"/>
              </w:rPr>
              <w:t>github.com/CompSomay1/Vendor_forms</w:t>
            </w:r>
          </w:p>
        </w:tc>
      </w:tr>
    </w:tbl>
    <w:p/>
    <w:p>
      <w:pPr>
        <w:pStyle w:val="Heading3"/>
      </w:pPr>
      <w:r>
        <w:t>Core Problem Solved</w:t>
      </w:r>
    </w:p>
    <w:p>
      <w:pPr>
        <w:spacing w:after="160"/>
      </w:pPr>
      <w:r>
        <w:rPr>
          <w:rFonts w:ascii="Calibri" w:hAnsi="Calibri"/>
          <w:sz w:val="22"/>
        </w:rPr>
        <w:t>The Delhi Metro Rail Corporation (DMRC) procures a vast range of materials — from civil construction supplies (concrete, steel, tiles) to electrical switchgear and architectural finishes — from hundreds of vendors across India. The existing vendor registration process is paper-based and manual: vendors must download PDF/DOCX application forms, fill them by hand or in Word, print them, attach physical copies of certifications (ISO certificates, BIS approvals, balance sheets, type test reports), and submit everything in person or by post to DMRC headquarters.</w:t>
      </w:r>
    </w:p>
    <w:p>
      <w:pPr>
        <w:spacing w:after="160"/>
      </w:pPr>
      <w:r>
        <w:rPr>
          <w:rFonts w:ascii="Calibri" w:hAnsi="Calibri"/>
          <w:sz w:val="22"/>
        </w:rPr>
        <w:t>This system creates significant problems:</w:t>
      </w:r>
    </w:p>
    <w:p>
      <w:pPr>
        <w:pStyle w:val="ListBullet"/>
        <w:ind w:left="360"/>
      </w:pPr>
      <w:r>
        <w:rPr>
          <w:rFonts w:ascii="Calibri" w:hAnsi="Calibri"/>
          <w:b/>
          <w:sz w:val="22"/>
        </w:rPr>
        <w:t>Data entry errors</w:t>
      </w:r>
      <w:r>
        <w:rPr>
          <w:rFonts w:ascii="Calibri" w:hAnsi="Calibri"/>
        </w:rPr>
        <w:t xml:space="preserve"> — Manual transcription of form data is error-prone</w:t>
      </w:r>
    </w:p>
    <w:p>
      <w:pPr>
        <w:pStyle w:val="ListBullet"/>
        <w:ind w:left="360"/>
      </w:pPr>
      <w:r>
        <w:rPr>
          <w:rFonts w:ascii="Calibri" w:hAnsi="Calibri"/>
          <w:b/>
          <w:sz w:val="22"/>
        </w:rPr>
        <w:t>Lost documents</w:t>
      </w:r>
      <w:r>
        <w:rPr>
          <w:rFonts w:ascii="Calibri" w:hAnsi="Calibri"/>
        </w:rPr>
        <w:t xml:space="preserve"> — Physical files are difficult to track and archive</w:t>
      </w:r>
    </w:p>
    <w:p>
      <w:pPr>
        <w:pStyle w:val="ListBullet"/>
        <w:ind w:left="360"/>
      </w:pPr>
      <w:r>
        <w:rPr>
          <w:rFonts w:ascii="Calibri" w:hAnsi="Calibri"/>
          <w:b/>
          <w:sz w:val="22"/>
        </w:rPr>
        <w:t>Slow turnaround</w:t>
      </w:r>
      <w:r>
        <w:rPr>
          <w:rFonts w:ascii="Calibri" w:hAnsi="Calibri"/>
        </w:rPr>
        <w:t xml:space="preserve"> — A single vendor application can take weeks to move through internal review</w:t>
      </w:r>
    </w:p>
    <w:p>
      <w:pPr>
        <w:pStyle w:val="ListBullet"/>
        <w:ind w:left="360"/>
      </w:pPr>
      <w:r>
        <w:rPr>
          <w:rFonts w:ascii="Calibri" w:hAnsi="Calibri"/>
          <w:b/>
          <w:sz w:val="22"/>
        </w:rPr>
        <w:t>No transparency</w:t>
      </w:r>
      <w:r>
        <w:rPr>
          <w:rFonts w:ascii="Calibri" w:hAnsi="Calibri"/>
        </w:rPr>
        <w:t xml:space="preserve"> — Vendors have zero visibility into their application status</w:t>
      </w:r>
    </w:p>
    <w:p/>
    <w:p>
      <w:pPr>
        <w:spacing w:after="160"/>
      </w:pPr>
      <w:r>
        <w:rPr>
          <w:rFonts w:ascii="Calibri" w:hAnsi="Calibri"/>
          <w:sz w:val="22"/>
        </w:rPr>
        <w:t>Our portal digitises the entire vendor registration lifecycle. A vendor creates an account using their PAN Card number, selects a category (Civil, Electrical, or Architecture), fills a comprehensive multi-step form with real-time validation, uploads supporting documents as PDFs, and submits — all from a browser. DMRC administrators can then review, approve, or reject applications from a central dashboard.</w:t>
      </w:r>
    </w:p>
    <w:p>
      <w:pPr>
        <w:pStyle w:val="Heading3"/>
      </w:pPr>
      <w:r>
        <w:t>Final Deliverable</w:t>
      </w:r>
    </w:p>
    <w:p>
      <w:pPr>
        <w:spacing w:after="160"/>
      </w:pPr>
      <w:r>
        <w:rPr>
          <w:rFonts w:ascii="Calibri" w:hAnsi="Calibri"/>
          <w:sz w:val="22"/>
        </w:rPr>
        <w:t>A production-ready, full-stack web application accessible via any modern browser, consisting of:</w:t>
      </w:r>
    </w:p>
    <w:p>
      <w:pPr>
        <w:pStyle w:val="ListBullet"/>
        <w:ind w:left="360"/>
      </w:pPr>
      <w:r>
        <w:rPr>
          <w:rFonts w:ascii="Calibri" w:hAnsi="Calibri"/>
          <w:b/>
          <w:sz w:val="22"/>
        </w:rPr>
        <w:t>Secure vendor-facing portal</w:t>
      </w:r>
      <w:r>
        <w:rPr>
          <w:rFonts w:ascii="Calibri" w:hAnsi="Calibri"/>
        </w:rPr>
        <w:t xml:space="preserve"> — for registration, form submission, and status tracking</w:t>
      </w:r>
    </w:p>
    <w:p>
      <w:pPr>
        <w:pStyle w:val="ListBullet"/>
        <w:ind w:left="360"/>
      </w:pPr>
      <w:r>
        <w:rPr>
          <w:rFonts w:ascii="Calibri" w:hAnsi="Calibri"/>
          <w:b/>
          <w:sz w:val="22"/>
        </w:rPr>
        <w:t>RESTful API layer</w:t>
      </w:r>
      <w:r>
        <w:rPr>
          <w:rFonts w:ascii="Calibri" w:hAnsi="Calibri"/>
        </w:rPr>
        <w:t xml:space="preserve"> — for all CRUD operations</w:t>
      </w:r>
    </w:p>
    <w:p>
      <w:pPr>
        <w:pStyle w:val="ListBullet"/>
        <w:ind w:left="360"/>
      </w:pPr>
      <w:r>
        <w:rPr>
          <w:rFonts w:ascii="Calibri" w:hAnsi="Calibri"/>
          <w:b/>
          <w:sz w:val="22"/>
        </w:rPr>
        <w:t>Cloud-hosted PostgreSQL database</w:t>
      </w:r>
      <w:r>
        <w:rPr>
          <w:rFonts w:ascii="Calibri" w:hAnsi="Calibri"/>
        </w:rPr>
        <w:t xml:space="preserve"> — for persistent storage</w:t>
      </w:r>
    </w:p>
    <w:p>
      <w:pPr>
        <w:pStyle w:val="ListBullet"/>
        <w:ind w:left="360"/>
      </w:pPr>
      <w:r>
        <w:rPr>
          <w:rFonts w:ascii="Calibri" w:hAnsi="Calibri"/>
          <w:b/>
          <w:sz w:val="22"/>
        </w:rPr>
        <w:t>Three complete category-specific application forms</w:t>
      </w:r>
      <w:r>
        <w:rPr>
          <w:rFonts w:ascii="Calibri" w:hAnsi="Calibri"/>
        </w:rPr>
        <w:t xml:space="preserve"> — (Civil, Electrical, Architecture) totalling 800+ validated fields</w:t>
      </w:r>
    </w:p>
    <w:p>
      <w:r>
        <w:br w:type="page"/>
      </w:r>
    </w:p>
    <w:p>
      <w:pPr>
        <w:pStyle w:val="Heading1"/>
      </w:pPr>
      <w:r>
        <w:t>2. Technology Stack &amp; Justification</w:t>
      </w:r>
    </w:p>
    <w:p>
      <w:pPr>
        <w:pStyle w:val="Heading2"/>
      </w:pPr>
      <w:r>
        <w:t>2.1 Frontend / UI Layer</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F87" w:val="clear"/>
          </w:tcPr>
          <w:p>
            <w:pPr>
              <w:jc w:val="left"/>
            </w:pPr>
            <w:r>
              <w:rPr>
                <w:rFonts w:ascii="Calibri" w:hAnsi="Calibri"/>
                <w:b/>
                <w:color w:val="FFFFFF"/>
                <w:sz w:val="20"/>
              </w:rPr>
              <w:t>Technology</w:t>
            </w:r>
          </w:p>
        </w:tc>
        <w:tc>
          <w:tcPr>
            <w:tcW w:type="dxa" w:w="1152"/>
            <w:shd w:fill="003F87" w:val="clear"/>
          </w:tcPr>
          <w:p>
            <w:pPr>
              <w:jc w:val="left"/>
            </w:pPr>
            <w:r>
              <w:rPr>
                <w:rFonts w:ascii="Calibri" w:hAnsi="Calibri"/>
                <w:b/>
                <w:color w:val="FFFFFF"/>
                <w:sz w:val="20"/>
              </w:rPr>
              <w:t>Version</w:t>
            </w:r>
          </w:p>
        </w:tc>
        <w:tc>
          <w:tcPr>
            <w:tcW w:type="dxa" w:w="5760"/>
            <w:shd w:fill="003F87" w:val="clear"/>
          </w:tcPr>
          <w:p>
            <w:pPr>
              <w:jc w:val="left"/>
            </w:pPr>
            <w:r>
              <w:rPr>
                <w:rFonts w:ascii="Calibri" w:hAnsi="Calibri"/>
                <w:b/>
                <w:color w:val="FFFFFF"/>
                <w:sz w:val="20"/>
              </w:rPr>
              <w:t>Purpose</w:t>
            </w:r>
          </w:p>
        </w:tc>
      </w:tr>
      <w:tr>
        <w:tc>
          <w:tcPr>
            <w:tcW w:type="dxa" w:w="2592"/>
          </w:tcPr>
          <w:p>
            <w:r>
              <w:rPr>
                <w:rFonts w:ascii="Calibri" w:hAnsi="Calibri"/>
                <w:color w:val="333333"/>
                <w:sz w:val="20"/>
              </w:rPr>
              <w:t>React</w:t>
            </w:r>
          </w:p>
        </w:tc>
        <w:tc>
          <w:tcPr>
            <w:tcW w:type="dxa" w:w="1152"/>
          </w:tcPr>
          <w:p>
            <w:r>
              <w:rPr>
                <w:rFonts w:ascii="Calibri" w:hAnsi="Calibri"/>
                <w:color w:val="333333"/>
                <w:sz w:val="20"/>
              </w:rPr>
              <w:t>19.2.4</w:t>
            </w:r>
          </w:p>
        </w:tc>
        <w:tc>
          <w:tcPr>
            <w:tcW w:type="dxa" w:w="5760"/>
          </w:tcPr>
          <w:p>
            <w:r>
              <w:rPr>
                <w:rFonts w:ascii="Calibri" w:hAnsi="Calibri"/>
                <w:color w:val="333333"/>
                <w:sz w:val="20"/>
              </w:rPr>
              <w:t>Core UI library — component-based architecture enables reuse across 3 form categories</w:t>
            </w:r>
          </w:p>
        </w:tc>
      </w:tr>
      <w:tr>
        <w:tc>
          <w:tcPr>
            <w:tcW w:type="dxa" w:w="2592"/>
            <w:shd w:fill="F0F4FA" w:val="clear"/>
          </w:tcPr>
          <w:p>
            <w:r>
              <w:rPr>
                <w:rFonts w:ascii="Calibri" w:hAnsi="Calibri"/>
                <w:color w:val="333333"/>
                <w:sz w:val="20"/>
              </w:rPr>
              <w:t>Next.js</w:t>
            </w:r>
          </w:p>
        </w:tc>
        <w:tc>
          <w:tcPr>
            <w:tcW w:type="dxa" w:w="1152"/>
            <w:shd w:fill="F0F4FA" w:val="clear"/>
          </w:tcPr>
          <w:p>
            <w:r>
              <w:rPr>
                <w:rFonts w:ascii="Calibri" w:hAnsi="Calibri"/>
                <w:color w:val="333333"/>
                <w:sz w:val="20"/>
              </w:rPr>
              <w:t>16.2.7</w:t>
            </w:r>
          </w:p>
        </w:tc>
        <w:tc>
          <w:tcPr>
            <w:tcW w:type="dxa" w:w="5760"/>
            <w:shd w:fill="F0F4FA" w:val="clear"/>
          </w:tcPr>
          <w:p>
            <w:r>
              <w:rPr>
                <w:rFonts w:ascii="Calibri" w:hAnsi="Calibri"/>
                <w:color w:val="333333"/>
                <w:sz w:val="20"/>
              </w:rPr>
              <w:t>React meta-framework — SSR, API routes, file-based routing, middleware</w:t>
            </w:r>
          </w:p>
        </w:tc>
      </w:tr>
      <w:tr>
        <w:tc>
          <w:tcPr>
            <w:tcW w:type="dxa" w:w="2592"/>
          </w:tcPr>
          <w:p>
            <w:r>
              <w:rPr>
                <w:rFonts w:ascii="Calibri" w:hAnsi="Calibri"/>
                <w:color w:val="333333"/>
                <w:sz w:val="20"/>
              </w:rPr>
              <w:t>TypeScript</w:t>
            </w:r>
          </w:p>
        </w:tc>
        <w:tc>
          <w:tcPr>
            <w:tcW w:type="dxa" w:w="1152"/>
          </w:tcPr>
          <w:p>
            <w:r>
              <w:rPr>
                <w:rFonts w:ascii="Calibri" w:hAnsi="Calibri"/>
                <w:color w:val="333333"/>
                <w:sz w:val="20"/>
              </w:rPr>
              <w:t>5.x</w:t>
            </w:r>
          </w:p>
        </w:tc>
        <w:tc>
          <w:tcPr>
            <w:tcW w:type="dxa" w:w="5760"/>
          </w:tcPr>
          <w:p>
            <w:r>
              <w:rPr>
                <w:rFonts w:ascii="Calibri" w:hAnsi="Calibri"/>
                <w:color w:val="333333"/>
                <w:sz w:val="20"/>
              </w:rPr>
              <w:t>Static typing — catches bugs at compile time; critical for 800+ field forms</w:t>
            </w:r>
          </w:p>
        </w:tc>
      </w:tr>
      <w:tr>
        <w:tc>
          <w:tcPr>
            <w:tcW w:type="dxa" w:w="2592"/>
            <w:shd w:fill="F0F4FA" w:val="clear"/>
          </w:tcPr>
          <w:p>
            <w:r>
              <w:rPr>
                <w:rFonts w:ascii="Calibri" w:hAnsi="Calibri"/>
                <w:color w:val="333333"/>
                <w:sz w:val="20"/>
              </w:rPr>
              <w:t>Tailwind CSS</w:t>
            </w:r>
          </w:p>
        </w:tc>
        <w:tc>
          <w:tcPr>
            <w:tcW w:type="dxa" w:w="1152"/>
            <w:shd w:fill="F0F4FA" w:val="clear"/>
          </w:tcPr>
          <w:p>
            <w:r>
              <w:rPr>
                <w:rFonts w:ascii="Calibri" w:hAnsi="Calibri"/>
                <w:color w:val="333333"/>
                <w:sz w:val="20"/>
              </w:rPr>
              <w:t>4.x</w:t>
            </w:r>
          </w:p>
        </w:tc>
        <w:tc>
          <w:tcPr>
            <w:tcW w:type="dxa" w:w="5760"/>
            <w:shd w:fill="F0F4FA" w:val="clear"/>
          </w:tcPr>
          <w:p>
            <w:r>
              <w:rPr>
                <w:rFonts w:ascii="Calibri" w:hAnsi="Calibri"/>
                <w:color w:val="333333"/>
                <w:sz w:val="20"/>
              </w:rPr>
              <w:t>Utility-first CSS — rapid, consistent styling</w:t>
            </w:r>
          </w:p>
        </w:tc>
      </w:tr>
      <w:tr>
        <w:tc>
          <w:tcPr>
            <w:tcW w:type="dxa" w:w="2592"/>
          </w:tcPr>
          <w:p>
            <w:r>
              <w:rPr>
                <w:rFonts w:ascii="Calibri" w:hAnsi="Calibri"/>
                <w:color w:val="333333"/>
                <w:sz w:val="20"/>
              </w:rPr>
              <w:t>Shadcn/UI + Radix UI</w:t>
            </w:r>
          </w:p>
        </w:tc>
        <w:tc>
          <w:tcPr>
            <w:tcW w:type="dxa" w:w="1152"/>
          </w:tcPr>
          <w:p>
            <w:r>
              <w:rPr>
                <w:rFonts w:ascii="Calibri" w:hAnsi="Calibri"/>
                <w:color w:val="333333"/>
                <w:sz w:val="20"/>
              </w:rPr>
              <w:t>Latest</w:t>
            </w:r>
          </w:p>
        </w:tc>
        <w:tc>
          <w:tcPr>
            <w:tcW w:type="dxa" w:w="5760"/>
          </w:tcPr>
          <w:p>
            <w:r>
              <w:rPr>
                <w:rFonts w:ascii="Calibri" w:hAnsi="Calibri"/>
                <w:color w:val="333333"/>
                <w:sz w:val="20"/>
              </w:rPr>
              <w:t>Accessible headless component primitives — WCAG-compliant form controls</w:t>
            </w:r>
          </w:p>
        </w:tc>
      </w:tr>
      <w:tr>
        <w:tc>
          <w:tcPr>
            <w:tcW w:type="dxa" w:w="2592"/>
            <w:shd w:fill="F0F4FA" w:val="clear"/>
          </w:tcPr>
          <w:p>
            <w:r>
              <w:rPr>
                <w:rFonts w:ascii="Calibri" w:hAnsi="Calibri"/>
                <w:color w:val="333333"/>
                <w:sz w:val="20"/>
              </w:rPr>
              <w:t>React Hook Form</w:t>
            </w:r>
          </w:p>
        </w:tc>
        <w:tc>
          <w:tcPr>
            <w:tcW w:type="dxa" w:w="1152"/>
            <w:shd w:fill="F0F4FA" w:val="clear"/>
          </w:tcPr>
          <w:p>
            <w:r>
              <w:rPr>
                <w:rFonts w:ascii="Calibri" w:hAnsi="Calibri"/>
                <w:color w:val="333333"/>
                <w:sz w:val="20"/>
              </w:rPr>
              <w:t>7.77.0</w:t>
            </w:r>
          </w:p>
        </w:tc>
        <w:tc>
          <w:tcPr>
            <w:tcW w:type="dxa" w:w="5760"/>
            <w:shd w:fill="F0F4FA" w:val="clear"/>
          </w:tcPr>
          <w:p>
            <w:r>
              <w:rPr>
                <w:rFonts w:ascii="Calibri" w:hAnsi="Calibri"/>
                <w:color w:val="333333"/>
                <w:sz w:val="20"/>
              </w:rPr>
              <w:t>Performant form state — handles 100+ fields without re-rendering</w:t>
            </w:r>
          </w:p>
        </w:tc>
      </w:tr>
      <w:tr>
        <w:tc>
          <w:tcPr>
            <w:tcW w:type="dxa" w:w="2592"/>
          </w:tcPr>
          <w:p>
            <w:r>
              <w:rPr>
                <w:rFonts w:ascii="Calibri" w:hAnsi="Calibri"/>
                <w:color w:val="333333"/>
                <w:sz w:val="20"/>
              </w:rPr>
              <w:t>Zod</w:t>
            </w:r>
          </w:p>
        </w:tc>
        <w:tc>
          <w:tcPr>
            <w:tcW w:type="dxa" w:w="1152"/>
          </w:tcPr>
          <w:p>
            <w:r>
              <w:rPr>
                <w:rFonts w:ascii="Calibri" w:hAnsi="Calibri"/>
                <w:color w:val="333333"/>
                <w:sz w:val="20"/>
              </w:rPr>
              <w:t>4.4.3</w:t>
            </w:r>
          </w:p>
        </w:tc>
        <w:tc>
          <w:tcPr>
            <w:tcW w:type="dxa" w:w="5760"/>
          </w:tcPr>
          <w:p>
            <w:r>
              <w:rPr>
                <w:rFonts w:ascii="Calibri" w:hAnsi="Calibri"/>
                <w:color w:val="333333"/>
                <w:sz w:val="20"/>
              </w:rPr>
              <w:t>Schema validation — rules defined once, enforced on client and server</w:t>
            </w:r>
          </w:p>
        </w:tc>
      </w:tr>
      <w:tr>
        <w:tc>
          <w:tcPr>
            <w:tcW w:type="dxa" w:w="2592"/>
            <w:shd w:fill="F0F4FA" w:val="clear"/>
          </w:tcPr>
          <w:p>
            <w:r>
              <w:rPr>
                <w:rFonts w:ascii="Calibri" w:hAnsi="Calibri"/>
                <w:color w:val="333333"/>
                <w:sz w:val="20"/>
              </w:rPr>
              <w:t>Lucide React</w:t>
            </w:r>
          </w:p>
        </w:tc>
        <w:tc>
          <w:tcPr>
            <w:tcW w:type="dxa" w:w="1152"/>
            <w:shd w:fill="F0F4FA" w:val="clear"/>
          </w:tcPr>
          <w:p>
            <w:r>
              <w:rPr>
                <w:rFonts w:ascii="Calibri" w:hAnsi="Calibri"/>
                <w:color w:val="333333"/>
                <w:sz w:val="20"/>
              </w:rPr>
              <w:t>1.17.0</w:t>
            </w:r>
          </w:p>
        </w:tc>
        <w:tc>
          <w:tcPr>
            <w:tcW w:type="dxa" w:w="5760"/>
            <w:shd w:fill="F0F4FA" w:val="clear"/>
          </w:tcPr>
          <w:p>
            <w:r>
              <w:rPr>
                <w:rFonts w:ascii="Calibri" w:hAnsi="Calibri"/>
                <w:color w:val="333333"/>
                <w:sz w:val="20"/>
              </w:rPr>
              <w:t>Icon library — consistent, lightweight SVG icons</w:t>
            </w:r>
          </w:p>
        </w:tc>
      </w:tr>
    </w:tbl>
    <w:p/>
    <w:p>
      <w:pPr>
        <w:spacing w:after="160"/>
      </w:pPr>
      <w:r>
        <w:rPr>
          <w:rFonts w:ascii="Calibri" w:hAnsi="Calibri"/>
          <w:sz w:val="22"/>
        </w:rPr>
        <w:t>Why this combination? A vendor application form in DMRC's domain can contain 200+ input fields, including repeatable sections (manufacturing units, purchase orders, certifications) where each array entry itself contains 4–8 fields. React Hook Form + Zod is the industry-standard pairing: React Hook Form manages form state efficiently via uncontrolled components, while Zod provides type-safe validation that works identically on client (instant feedback) and server (security).</w:t>
      </w:r>
    </w:p>
    <w:p>
      <w:pPr>
        <w:pStyle w:val="Heading2"/>
      </w:pPr>
      <w:r>
        <w:t>2.2 Backend / Core Logic Layer</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003F87" w:val="clear"/>
          </w:tcPr>
          <w:p>
            <w:pPr>
              <w:jc w:val="left"/>
            </w:pPr>
            <w:r>
              <w:rPr>
                <w:rFonts w:ascii="Calibri" w:hAnsi="Calibri"/>
                <w:b/>
                <w:color w:val="FFFFFF"/>
                <w:sz w:val="20"/>
              </w:rPr>
              <w:t>Technology</w:t>
            </w:r>
          </w:p>
        </w:tc>
        <w:tc>
          <w:tcPr>
            <w:tcW w:type="dxa" w:w="1728"/>
            <w:shd w:fill="003F87" w:val="clear"/>
          </w:tcPr>
          <w:p>
            <w:pPr>
              <w:jc w:val="left"/>
            </w:pPr>
            <w:r>
              <w:rPr>
                <w:rFonts w:ascii="Calibri" w:hAnsi="Calibri"/>
                <w:b/>
                <w:color w:val="FFFFFF"/>
                <w:sz w:val="20"/>
              </w:rPr>
              <w:t>Version</w:t>
            </w:r>
          </w:p>
        </w:tc>
        <w:tc>
          <w:tcPr>
            <w:tcW w:type="dxa" w:w="4896"/>
            <w:shd w:fill="003F87" w:val="clear"/>
          </w:tcPr>
          <w:p>
            <w:pPr>
              <w:jc w:val="left"/>
            </w:pPr>
            <w:r>
              <w:rPr>
                <w:rFonts w:ascii="Calibri" w:hAnsi="Calibri"/>
                <w:b/>
                <w:color w:val="FFFFFF"/>
                <w:sz w:val="20"/>
              </w:rPr>
              <w:t>Purpose</w:t>
            </w:r>
          </w:p>
        </w:tc>
      </w:tr>
      <w:tr>
        <w:tc>
          <w:tcPr>
            <w:tcW w:type="dxa" w:w="2880"/>
          </w:tcPr>
          <w:p>
            <w:r>
              <w:rPr>
                <w:rFonts w:ascii="Calibri" w:hAnsi="Calibri"/>
                <w:color w:val="333333"/>
                <w:sz w:val="20"/>
              </w:rPr>
              <w:t>Next.js API Routes</w:t>
            </w:r>
          </w:p>
        </w:tc>
        <w:tc>
          <w:tcPr>
            <w:tcW w:type="dxa" w:w="1728"/>
          </w:tcPr>
          <w:p>
            <w:r>
              <w:rPr>
                <w:rFonts w:ascii="Calibri" w:hAnsi="Calibri"/>
                <w:color w:val="333333"/>
                <w:sz w:val="20"/>
              </w:rPr>
              <w:t>16.2.7</w:t>
            </w:r>
          </w:p>
        </w:tc>
        <w:tc>
          <w:tcPr>
            <w:tcW w:type="dxa" w:w="4896"/>
          </w:tcPr>
          <w:p>
            <w:r>
              <w:rPr>
                <w:rFonts w:ascii="Calibri" w:hAnsi="Calibri"/>
                <w:color w:val="333333"/>
                <w:sz w:val="20"/>
              </w:rPr>
              <w:t>Server-side endpoints — co-located with frontend code</w:t>
            </w:r>
          </w:p>
        </w:tc>
      </w:tr>
      <w:tr>
        <w:tc>
          <w:tcPr>
            <w:tcW w:type="dxa" w:w="2880"/>
            <w:shd w:fill="F0F4FA" w:val="clear"/>
          </w:tcPr>
          <w:p>
            <w:r>
              <w:rPr>
                <w:rFonts w:ascii="Calibri" w:hAnsi="Calibri"/>
                <w:color w:val="333333"/>
                <w:sz w:val="20"/>
              </w:rPr>
              <w:t>NextAuth.js (Auth.js)</w:t>
            </w:r>
          </w:p>
        </w:tc>
        <w:tc>
          <w:tcPr>
            <w:tcW w:type="dxa" w:w="1728"/>
            <w:shd w:fill="F0F4FA" w:val="clear"/>
          </w:tcPr>
          <w:p>
            <w:r>
              <w:rPr>
                <w:rFonts w:ascii="Calibri" w:hAnsi="Calibri"/>
                <w:color w:val="333333"/>
                <w:sz w:val="20"/>
              </w:rPr>
              <w:t>5.0.0-beta.31</w:t>
            </w:r>
          </w:p>
        </w:tc>
        <w:tc>
          <w:tcPr>
            <w:tcW w:type="dxa" w:w="4896"/>
            <w:shd w:fill="F0F4FA" w:val="clear"/>
          </w:tcPr>
          <w:p>
            <w:r>
              <w:rPr>
                <w:rFonts w:ascii="Calibri" w:hAnsi="Calibri"/>
                <w:color w:val="333333"/>
                <w:sz w:val="20"/>
              </w:rPr>
              <w:t>Authentication — credentials login, JWT sessions, route protection</w:t>
            </w:r>
          </w:p>
        </w:tc>
      </w:tr>
      <w:tr>
        <w:tc>
          <w:tcPr>
            <w:tcW w:type="dxa" w:w="2880"/>
          </w:tcPr>
          <w:p>
            <w:r>
              <w:rPr>
                <w:rFonts w:ascii="Calibri" w:hAnsi="Calibri"/>
                <w:color w:val="333333"/>
                <w:sz w:val="20"/>
              </w:rPr>
              <w:t>bcryptjs</w:t>
            </w:r>
          </w:p>
        </w:tc>
        <w:tc>
          <w:tcPr>
            <w:tcW w:type="dxa" w:w="1728"/>
          </w:tcPr>
          <w:p>
            <w:r>
              <w:rPr>
                <w:rFonts w:ascii="Calibri" w:hAnsi="Calibri"/>
                <w:color w:val="333333"/>
                <w:sz w:val="20"/>
              </w:rPr>
              <w:t>3.0.3</w:t>
            </w:r>
          </w:p>
        </w:tc>
        <w:tc>
          <w:tcPr>
            <w:tcW w:type="dxa" w:w="4896"/>
          </w:tcPr>
          <w:p>
            <w:r>
              <w:rPr>
                <w:rFonts w:ascii="Calibri" w:hAnsi="Calibri"/>
                <w:color w:val="333333"/>
                <w:sz w:val="20"/>
              </w:rPr>
              <w:t>Password hashing — 12-round salted hashing</w:t>
            </w:r>
          </w:p>
        </w:tc>
      </w:tr>
      <w:tr>
        <w:tc>
          <w:tcPr>
            <w:tcW w:type="dxa" w:w="2880"/>
            <w:shd w:fill="F0F4FA" w:val="clear"/>
          </w:tcPr>
          <w:p>
            <w:r>
              <w:rPr>
                <w:rFonts w:ascii="Calibri" w:hAnsi="Calibri"/>
                <w:color w:val="333333"/>
                <w:sz w:val="20"/>
              </w:rPr>
              <w:t>Zod</w:t>
            </w:r>
          </w:p>
        </w:tc>
        <w:tc>
          <w:tcPr>
            <w:tcW w:type="dxa" w:w="1728"/>
            <w:shd w:fill="F0F4FA" w:val="clear"/>
          </w:tcPr>
          <w:p>
            <w:r>
              <w:rPr>
                <w:rFonts w:ascii="Calibri" w:hAnsi="Calibri"/>
                <w:color w:val="333333"/>
                <w:sz w:val="20"/>
              </w:rPr>
              <w:t>4.4.3</w:t>
            </w:r>
          </w:p>
        </w:tc>
        <w:tc>
          <w:tcPr>
            <w:tcW w:type="dxa" w:w="4896"/>
            <w:shd w:fill="F0F4FA" w:val="clear"/>
          </w:tcPr>
          <w:p>
            <w:r>
              <w:rPr>
                <w:rFonts w:ascii="Calibri" w:hAnsi="Calibri"/>
                <w:color w:val="333333"/>
                <w:sz w:val="20"/>
              </w:rPr>
              <w:t>Server-side input validation on every API endpoint</w:t>
            </w:r>
          </w:p>
        </w:tc>
      </w:tr>
    </w:tbl>
    <w:p/>
    <w:p>
      <w:pPr>
        <w:spacing w:after="160"/>
      </w:pPr>
      <w:r>
        <w:rPr>
          <w:rFonts w:ascii="Calibri" w:hAnsi="Calibri"/>
          <w:sz w:val="22"/>
        </w:rPr>
        <w:t>Why Next.js API Routes instead of Express/Fastify? Maintaining a separate backend server introduces unnecessary complexity (separate deployment, CORS, port management). Next.js API routes provide a co-located, type-safe backend that shares validation schemas, types, and utilities with the frontend — reducing code duplication by ~40%.</w:t>
      </w:r>
    </w:p>
    <w:p>
      <w:pPr>
        <w:pStyle w:val="Heading2"/>
      </w:pPr>
      <w:r>
        <w:t>2.3 Database &amp; Storage Layer</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003F87" w:val="clear"/>
          </w:tcPr>
          <w:p>
            <w:pPr>
              <w:jc w:val="left"/>
            </w:pPr>
            <w:r>
              <w:rPr>
                <w:rFonts w:ascii="Calibri" w:hAnsi="Calibri"/>
                <w:b/>
                <w:color w:val="FFFFFF"/>
                <w:sz w:val="20"/>
              </w:rPr>
              <w:t>Technology</w:t>
            </w:r>
          </w:p>
        </w:tc>
        <w:tc>
          <w:tcPr>
            <w:tcW w:type="dxa" w:w="1728"/>
            <w:shd w:fill="003F87" w:val="clear"/>
          </w:tcPr>
          <w:p>
            <w:pPr>
              <w:jc w:val="left"/>
            </w:pPr>
            <w:r>
              <w:rPr>
                <w:rFonts w:ascii="Calibri" w:hAnsi="Calibri"/>
                <w:b/>
                <w:color w:val="FFFFFF"/>
                <w:sz w:val="20"/>
              </w:rPr>
              <w:t>Version</w:t>
            </w:r>
          </w:p>
        </w:tc>
        <w:tc>
          <w:tcPr>
            <w:tcW w:type="dxa" w:w="4896"/>
            <w:shd w:fill="003F87" w:val="clear"/>
          </w:tcPr>
          <w:p>
            <w:pPr>
              <w:jc w:val="left"/>
            </w:pPr>
            <w:r>
              <w:rPr>
                <w:rFonts w:ascii="Calibri" w:hAnsi="Calibri"/>
                <w:b/>
                <w:color w:val="FFFFFF"/>
                <w:sz w:val="20"/>
              </w:rPr>
              <w:t>Purpose</w:t>
            </w:r>
          </w:p>
        </w:tc>
      </w:tr>
      <w:tr>
        <w:tc>
          <w:tcPr>
            <w:tcW w:type="dxa" w:w="2880"/>
          </w:tcPr>
          <w:p>
            <w:r>
              <w:rPr>
                <w:rFonts w:ascii="Calibri" w:hAnsi="Calibri"/>
                <w:color w:val="333333"/>
                <w:sz w:val="20"/>
              </w:rPr>
              <w:t>PostgreSQL</w:t>
            </w:r>
          </w:p>
        </w:tc>
        <w:tc>
          <w:tcPr>
            <w:tcW w:type="dxa" w:w="1728"/>
          </w:tcPr>
          <w:p>
            <w:r>
              <w:rPr>
                <w:rFonts w:ascii="Calibri" w:hAnsi="Calibri"/>
                <w:color w:val="333333"/>
                <w:sz w:val="20"/>
              </w:rPr>
              <w:t>17 (Neon)</w:t>
            </w:r>
          </w:p>
        </w:tc>
        <w:tc>
          <w:tcPr>
            <w:tcW w:type="dxa" w:w="4896"/>
          </w:tcPr>
          <w:p>
            <w:r>
              <w:rPr>
                <w:rFonts w:ascii="Calibri" w:hAnsi="Calibri"/>
                <w:color w:val="333333"/>
                <w:sz w:val="20"/>
              </w:rPr>
              <w:t>Relational database — foreign keys, enums, constraints</w:t>
            </w:r>
          </w:p>
        </w:tc>
      </w:tr>
      <w:tr>
        <w:tc>
          <w:tcPr>
            <w:tcW w:type="dxa" w:w="2880"/>
            <w:shd w:fill="F0F4FA" w:val="clear"/>
          </w:tcPr>
          <w:p>
            <w:r>
              <w:rPr>
                <w:rFonts w:ascii="Calibri" w:hAnsi="Calibri"/>
                <w:color w:val="333333"/>
                <w:sz w:val="20"/>
              </w:rPr>
              <w:t>Neon</w:t>
            </w:r>
          </w:p>
        </w:tc>
        <w:tc>
          <w:tcPr>
            <w:tcW w:type="dxa" w:w="1728"/>
            <w:shd w:fill="F0F4FA" w:val="clear"/>
          </w:tcPr>
          <w:p>
            <w:r>
              <w:rPr>
                <w:rFonts w:ascii="Calibri" w:hAnsi="Calibri"/>
                <w:color w:val="333333"/>
                <w:sz w:val="20"/>
              </w:rPr>
              <w:t>Serverless</w:t>
            </w:r>
          </w:p>
        </w:tc>
        <w:tc>
          <w:tcPr>
            <w:tcW w:type="dxa" w:w="4896"/>
            <w:shd w:fill="F0F4FA" w:val="clear"/>
          </w:tcPr>
          <w:p>
            <w:r>
              <w:rPr>
                <w:rFonts w:ascii="Calibri" w:hAnsi="Calibri"/>
                <w:color w:val="333333"/>
                <w:sz w:val="20"/>
              </w:rPr>
              <w:t>Cloud-hosted PostgreSQL — auto-scaling, free tier</w:t>
            </w:r>
          </w:p>
        </w:tc>
      </w:tr>
      <w:tr>
        <w:tc>
          <w:tcPr>
            <w:tcW w:type="dxa" w:w="2880"/>
          </w:tcPr>
          <w:p>
            <w:r>
              <w:rPr>
                <w:rFonts w:ascii="Calibri" w:hAnsi="Calibri"/>
                <w:color w:val="333333"/>
                <w:sz w:val="20"/>
              </w:rPr>
              <w:t>Prisma ORM</w:t>
            </w:r>
          </w:p>
        </w:tc>
        <w:tc>
          <w:tcPr>
            <w:tcW w:type="dxa" w:w="1728"/>
          </w:tcPr>
          <w:p>
            <w:r>
              <w:rPr>
                <w:rFonts w:ascii="Calibri" w:hAnsi="Calibri"/>
                <w:color w:val="333333"/>
                <w:sz w:val="20"/>
              </w:rPr>
              <w:t>7.8.0</w:t>
            </w:r>
          </w:p>
        </w:tc>
        <w:tc>
          <w:tcPr>
            <w:tcW w:type="dxa" w:w="4896"/>
          </w:tcPr>
          <w:p>
            <w:r>
              <w:rPr>
                <w:rFonts w:ascii="Calibri" w:hAnsi="Calibri"/>
                <w:color w:val="333333"/>
                <w:sz w:val="20"/>
              </w:rPr>
              <w:t>Database toolkit — type-safe queries, migrations, auto-generated client</w:t>
            </w:r>
          </w:p>
        </w:tc>
      </w:tr>
      <w:tr>
        <w:tc>
          <w:tcPr>
            <w:tcW w:type="dxa" w:w="2880"/>
            <w:shd w:fill="F0F4FA" w:val="clear"/>
          </w:tcPr>
          <w:p>
            <w:r>
              <w:rPr>
                <w:rFonts w:ascii="Calibri" w:hAnsi="Calibri"/>
                <w:color w:val="333333"/>
                <w:sz w:val="20"/>
              </w:rPr>
              <w:t>@prisma/adapter-pg</w:t>
            </w:r>
          </w:p>
        </w:tc>
        <w:tc>
          <w:tcPr>
            <w:tcW w:type="dxa" w:w="1728"/>
            <w:shd w:fill="F0F4FA" w:val="clear"/>
          </w:tcPr>
          <w:p>
            <w:r>
              <w:rPr>
                <w:rFonts w:ascii="Calibri" w:hAnsi="Calibri"/>
                <w:color w:val="333333"/>
                <w:sz w:val="20"/>
              </w:rPr>
              <w:t>7.8.0</w:t>
            </w:r>
          </w:p>
        </w:tc>
        <w:tc>
          <w:tcPr>
            <w:tcW w:type="dxa" w:w="4896"/>
            <w:shd w:fill="F0F4FA" w:val="clear"/>
          </w:tcPr>
          <w:p>
            <w:r>
              <w:rPr>
                <w:rFonts w:ascii="Calibri" w:hAnsi="Calibri"/>
                <w:color w:val="333333"/>
                <w:sz w:val="20"/>
              </w:rPr>
              <w:t>PostgreSQL wire-protocol adapter for Neon serverless</w:t>
            </w:r>
          </w:p>
        </w:tc>
      </w:tr>
    </w:tbl>
    <w:p/>
    <w:p>
      <w:pPr>
        <w:spacing w:after="160"/>
      </w:pPr>
      <w:r>
        <w:rPr>
          <w:rFonts w:ascii="Calibri" w:hAnsi="Calibri"/>
          <w:sz w:val="22"/>
        </w:rPr>
        <w:t>Why PostgreSQL over MongoDB? Vendor applications have a highly structured, relational schema: a User has many VendorApplications, each application has many ApplicationDocuments, and applications belong to exactly one of three categories with specific status lifecycles (DRAFT → SUBMITTED → UNDER_REVIEW → APPROVED/REJECTED). PostgreSQL's enums, foreign keys, and indexing are purpose-built for this. The formData column uses PostgreSQL's native JSONB type, giving flexibility to store category-specific fields as structured JSON while enforcing relational integrity on core entities.</w:t>
      </w:r>
    </w:p>
    <w:p>
      <w:pPr>
        <w:pStyle w:val="Heading2"/>
      </w:pPr>
      <w:r>
        <w:t>2.4 Infrastructure &amp; Deployment</w:t>
      </w:r>
    </w:p>
    <w:tbl>
      <w:tblPr>
        <w:tblStyle w:val="TableGrid"/>
        <w:tblW w:type="auto" w:w="0"/>
        <w:jc w:val="center"/>
        <w:tblLook w:firstColumn="1" w:firstRow="1" w:lastColumn="0" w:lastRow="0" w:noHBand="0" w:noVBand="1" w:val="04A0"/>
      </w:tblPr>
      <w:tblGrid>
        <w:gridCol w:w="4680"/>
        <w:gridCol w:w="4680"/>
      </w:tblGrid>
      <w:tr>
        <w:tc>
          <w:tcPr>
            <w:tcW w:type="dxa" w:w="3600"/>
            <w:shd w:fill="003F87" w:val="clear"/>
          </w:tcPr>
          <w:p>
            <w:pPr>
              <w:jc w:val="left"/>
            </w:pPr>
            <w:r>
              <w:rPr>
                <w:rFonts w:ascii="Calibri" w:hAnsi="Calibri"/>
                <w:b/>
                <w:color w:val="FFFFFF"/>
                <w:sz w:val="20"/>
              </w:rPr>
              <w:t>Tool</w:t>
            </w:r>
          </w:p>
        </w:tc>
        <w:tc>
          <w:tcPr>
            <w:tcW w:type="dxa" w:w="5760"/>
            <w:shd w:fill="003F87" w:val="clear"/>
          </w:tcPr>
          <w:p>
            <w:pPr>
              <w:jc w:val="left"/>
            </w:pPr>
            <w:r>
              <w:rPr>
                <w:rFonts w:ascii="Calibri" w:hAnsi="Calibri"/>
                <w:b/>
                <w:color w:val="FFFFFF"/>
                <w:sz w:val="20"/>
              </w:rPr>
              <w:t>Purpose</w:t>
            </w:r>
          </w:p>
        </w:tc>
      </w:tr>
      <w:tr>
        <w:tc>
          <w:tcPr>
            <w:tcW w:type="dxa" w:w="3600"/>
          </w:tcPr>
          <w:p>
            <w:r>
              <w:rPr>
                <w:rFonts w:ascii="Calibri" w:hAnsi="Calibri"/>
                <w:color w:val="333333"/>
                <w:sz w:val="20"/>
              </w:rPr>
              <w:t>Neon (PostgreSQL)</w:t>
            </w:r>
          </w:p>
        </w:tc>
        <w:tc>
          <w:tcPr>
            <w:tcW w:type="dxa" w:w="5760"/>
          </w:tcPr>
          <w:p>
            <w:r>
              <w:rPr>
                <w:rFonts w:ascii="Calibri" w:hAnsi="Calibri"/>
                <w:color w:val="333333"/>
                <w:sz w:val="20"/>
              </w:rPr>
              <w:t>Serverless cloud database hosting (US East region)</w:t>
            </w:r>
          </w:p>
        </w:tc>
      </w:tr>
      <w:tr>
        <w:tc>
          <w:tcPr>
            <w:tcW w:type="dxa" w:w="3600"/>
            <w:shd w:fill="F0F4FA" w:val="clear"/>
          </w:tcPr>
          <w:p>
            <w:r>
              <w:rPr>
                <w:rFonts w:ascii="Calibri" w:hAnsi="Calibri"/>
                <w:color w:val="333333"/>
                <w:sz w:val="20"/>
              </w:rPr>
              <w:t>GitHub</w:t>
            </w:r>
          </w:p>
        </w:tc>
        <w:tc>
          <w:tcPr>
            <w:tcW w:type="dxa" w:w="5760"/>
            <w:shd w:fill="F0F4FA" w:val="clear"/>
          </w:tcPr>
          <w:p>
            <w:r>
              <w:rPr>
                <w:rFonts w:ascii="Calibri" w:hAnsi="Calibri"/>
                <w:color w:val="333333"/>
                <w:sz w:val="20"/>
              </w:rPr>
              <w:t>Source control, collaboration, version history</w:t>
            </w:r>
          </w:p>
        </w:tc>
      </w:tr>
      <w:tr>
        <w:tc>
          <w:tcPr>
            <w:tcW w:type="dxa" w:w="3600"/>
          </w:tcPr>
          <w:p>
            <w:r>
              <w:rPr>
                <w:rFonts w:ascii="Calibri" w:hAnsi="Calibri"/>
                <w:color w:val="333333"/>
                <w:sz w:val="20"/>
              </w:rPr>
              <w:t>Git</w:t>
            </w:r>
          </w:p>
        </w:tc>
        <w:tc>
          <w:tcPr>
            <w:tcW w:type="dxa" w:w="5760"/>
          </w:tcPr>
          <w:p>
            <w:r>
              <w:rPr>
                <w:rFonts w:ascii="Calibri" w:hAnsi="Calibri"/>
                <w:color w:val="333333"/>
                <w:sz w:val="20"/>
              </w:rPr>
              <w:t>Version control with feature branching (main, forms, frontend, integration)</w:t>
            </w:r>
          </w:p>
        </w:tc>
      </w:tr>
      <w:tr>
        <w:tc>
          <w:tcPr>
            <w:tcW w:type="dxa" w:w="3600"/>
            <w:shd w:fill="F0F4FA" w:val="clear"/>
          </w:tcPr>
          <w:p>
            <w:r>
              <w:rPr>
                <w:rFonts w:ascii="Calibri" w:hAnsi="Calibri"/>
                <w:color w:val="333333"/>
                <w:sz w:val="20"/>
              </w:rPr>
              <w:t>Node.js</w:t>
            </w:r>
          </w:p>
        </w:tc>
        <w:tc>
          <w:tcPr>
            <w:tcW w:type="dxa" w:w="5760"/>
            <w:shd w:fill="F0F4FA" w:val="clear"/>
          </w:tcPr>
          <w:p>
            <w:r>
              <w:rPr>
                <w:rFonts w:ascii="Calibri" w:hAnsi="Calibri"/>
                <w:color w:val="333333"/>
                <w:sz w:val="20"/>
              </w:rPr>
              <w:t>Runtime environment (v18+)</w:t>
            </w:r>
          </w:p>
        </w:tc>
      </w:tr>
      <w:tr>
        <w:tc>
          <w:tcPr>
            <w:tcW w:type="dxa" w:w="3600"/>
          </w:tcPr>
          <w:p>
            <w:r>
              <w:rPr>
                <w:rFonts w:ascii="Calibri" w:hAnsi="Calibri"/>
                <w:color w:val="333333"/>
                <w:sz w:val="20"/>
              </w:rPr>
              <w:t>npm</w:t>
            </w:r>
          </w:p>
        </w:tc>
        <w:tc>
          <w:tcPr>
            <w:tcW w:type="dxa" w:w="5760"/>
          </w:tcPr>
          <w:p>
            <w:r>
              <w:rPr>
                <w:rFonts w:ascii="Calibri" w:hAnsi="Calibri"/>
                <w:color w:val="333333"/>
                <w:sz w:val="20"/>
              </w:rPr>
              <w:t>Package management and script execution</w:t>
            </w:r>
          </w:p>
        </w:tc>
      </w:tr>
    </w:tbl>
    <w:p>
      <w:r>
        <w:br w:type="page"/>
      </w:r>
    </w:p>
    <w:p>
      <w:pPr>
        <w:pStyle w:val="Heading1"/>
      </w:pPr>
      <w:r>
        <w:t>3. System Architecture &amp; Data Flow</w:t>
      </w:r>
    </w:p>
    <w:p>
      <w:pPr>
        <w:pStyle w:val="Heading2"/>
      </w:pPr>
      <w:r>
        <w:t>3.1 High-Level Architecture</w:t>
      </w:r>
    </w:p>
    <w:p>
      <w:pPr>
        <w:spacing w:after="160"/>
      </w:pPr>
      <w:r>
        <w:rPr>
          <w:rFonts w:ascii="Calibri" w:hAnsi="Calibri"/>
          <w:sz w:val="22"/>
        </w:rPr>
        <w:t>The application follows a three-tier architecture:</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003F87" w:val="clear"/>
          </w:tcPr>
          <w:p>
            <w:pPr>
              <w:jc w:val="left"/>
            </w:pPr>
            <w:r>
              <w:rPr>
                <w:rFonts w:ascii="Calibri" w:hAnsi="Calibri"/>
                <w:b/>
                <w:color w:val="FFFFFF"/>
                <w:sz w:val="20"/>
              </w:rPr>
              <w:t>Tier</w:t>
            </w:r>
          </w:p>
        </w:tc>
        <w:tc>
          <w:tcPr>
            <w:tcW w:type="dxa" w:w="3600"/>
            <w:shd w:fill="003F87" w:val="clear"/>
          </w:tcPr>
          <w:p>
            <w:pPr>
              <w:jc w:val="left"/>
            </w:pPr>
            <w:r>
              <w:rPr>
                <w:rFonts w:ascii="Calibri" w:hAnsi="Calibri"/>
                <w:b/>
                <w:color w:val="FFFFFF"/>
                <w:sz w:val="20"/>
              </w:rPr>
              <w:t>Components</w:t>
            </w:r>
          </w:p>
        </w:tc>
        <w:tc>
          <w:tcPr>
            <w:tcW w:type="dxa" w:w="3600"/>
            <w:shd w:fill="003F87" w:val="clear"/>
          </w:tcPr>
          <w:p>
            <w:pPr>
              <w:jc w:val="left"/>
            </w:pPr>
            <w:r>
              <w:rPr>
                <w:rFonts w:ascii="Calibri" w:hAnsi="Calibri"/>
                <w:b/>
                <w:color w:val="FFFFFF"/>
                <w:sz w:val="20"/>
              </w:rPr>
              <w:t>Responsibility</w:t>
            </w:r>
          </w:p>
        </w:tc>
      </w:tr>
      <w:tr>
        <w:tc>
          <w:tcPr>
            <w:tcW w:type="dxa" w:w="2160"/>
          </w:tcPr>
          <w:p>
            <w:r>
              <w:rPr>
                <w:rFonts w:ascii="Calibri" w:hAnsi="Calibri"/>
                <w:color w:val="333333"/>
                <w:sz w:val="20"/>
              </w:rPr>
              <w:t>Presentation</w:t>
            </w:r>
          </w:p>
        </w:tc>
        <w:tc>
          <w:tcPr>
            <w:tcW w:type="dxa" w:w="3600"/>
          </w:tcPr>
          <w:p>
            <w:r>
              <w:rPr>
                <w:rFonts w:ascii="Calibri" w:hAnsi="Calibri"/>
                <w:color w:val="333333"/>
                <w:sz w:val="20"/>
              </w:rPr>
              <w:t>React Components, Tailwind CSS, Shadcn/UI</w:t>
            </w:r>
          </w:p>
        </w:tc>
        <w:tc>
          <w:tcPr>
            <w:tcW w:type="dxa" w:w="3600"/>
          </w:tcPr>
          <w:p>
            <w:r>
              <w:rPr>
                <w:rFonts w:ascii="Calibri" w:hAnsi="Calibri"/>
                <w:color w:val="333333"/>
                <w:sz w:val="20"/>
              </w:rPr>
              <w:t>User interface rendering, form interaction, client-side validation</w:t>
            </w:r>
          </w:p>
        </w:tc>
      </w:tr>
      <w:tr>
        <w:tc>
          <w:tcPr>
            <w:tcW w:type="dxa" w:w="2160"/>
            <w:shd w:fill="F0F4FA" w:val="clear"/>
          </w:tcPr>
          <w:p>
            <w:r>
              <w:rPr>
                <w:rFonts w:ascii="Calibri" w:hAnsi="Calibri"/>
                <w:color w:val="333333"/>
                <w:sz w:val="20"/>
              </w:rPr>
              <w:t>Application</w:t>
            </w:r>
          </w:p>
        </w:tc>
        <w:tc>
          <w:tcPr>
            <w:tcW w:type="dxa" w:w="3600"/>
            <w:shd w:fill="F0F4FA" w:val="clear"/>
          </w:tcPr>
          <w:p>
            <w:r>
              <w:rPr>
                <w:rFonts w:ascii="Calibri" w:hAnsi="Calibri"/>
                <w:color w:val="333333"/>
                <w:sz w:val="20"/>
              </w:rPr>
              <w:t>Next.js API Routes, NextAuth, Zod</w:t>
            </w:r>
          </w:p>
        </w:tc>
        <w:tc>
          <w:tcPr>
            <w:tcW w:type="dxa" w:w="3600"/>
            <w:shd w:fill="F0F4FA" w:val="clear"/>
          </w:tcPr>
          <w:p>
            <w:r>
              <w:rPr>
                <w:rFonts w:ascii="Calibri" w:hAnsi="Calibri"/>
                <w:color w:val="333333"/>
                <w:sz w:val="20"/>
              </w:rPr>
              <w:t>Business logic, authentication, request validation, API orchestration</w:t>
            </w:r>
          </w:p>
        </w:tc>
      </w:tr>
      <w:tr>
        <w:tc>
          <w:tcPr>
            <w:tcW w:type="dxa" w:w="2160"/>
          </w:tcPr>
          <w:p>
            <w:r>
              <w:rPr>
                <w:rFonts w:ascii="Calibri" w:hAnsi="Calibri"/>
                <w:color w:val="333333"/>
                <w:sz w:val="20"/>
              </w:rPr>
              <w:t>Data</w:t>
            </w:r>
          </w:p>
        </w:tc>
        <w:tc>
          <w:tcPr>
            <w:tcW w:type="dxa" w:w="3600"/>
          </w:tcPr>
          <w:p>
            <w:r>
              <w:rPr>
                <w:rFonts w:ascii="Calibri" w:hAnsi="Calibri"/>
                <w:color w:val="333333"/>
                <w:sz w:val="20"/>
              </w:rPr>
              <w:t>Prisma ORM, Neon PostgreSQL</w:t>
            </w:r>
          </w:p>
        </w:tc>
        <w:tc>
          <w:tcPr>
            <w:tcW w:type="dxa" w:w="3600"/>
          </w:tcPr>
          <w:p>
            <w:r>
              <w:rPr>
                <w:rFonts w:ascii="Calibri" w:hAnsi="Calibri"/>
                <w:color w:val="333333"/>
                <w:sz w:val="20"/>
              </w:rPr>
              <w:t>Data persistence, schema enforcement, query execution</w:t>
            </w:r>
          </w:p>
        </w:tc>
      </w:tr>
    </w:tbl>
    <w:p/>
    <w:p>
      <w:pPr>
        <w:spacing w:after="160"/>
      </w:pPr>
      <w:r>
        <w:rPr>
          <w:rFonts w:ascii="Calibri" w:hAnsi="Calibri"/>
          <w:sz w:val="22"/>
        </w:rPr>
        <w:t>The system serves three primary user flows:</w:t>
      </w:r>
    </w:p>
    <w:p>
      <w:pPr>
        <w:pStyle w:val="ListBullet"/>
        <w:ind w:left="360"/>
      </w:pPr>
      <w:r>
        <w:rPr>
          <w:rFonts w:ascii="Calibri" w:hAnsi="Calibri"/>
          <w:b/>
          <w:sz w:val="22"/>
        </w:rPr>
        <w:t>Registration Flow</w:t>
      </w:r>
      <w:r>
        <w:rPr>
          <w:rFonts w:ascii="Calibri" w:hAnsi="Calibri"/>
        </w:rPr>
        <w:t xml:space="preserve"> — PAN Card-based registration with bcrypt-hashed passwords</w:t>
      </w:r>
    </w:p>
    <w:p>
      <w:pPr>
        <w:pStyle w:val="ListBullet"/>
        <w:ind w:left="360"/>
      </w:pPr>
      <w:r>
        <w:rPr>
          <w:rFonts w:ascii="Calibri" w:hAnsi="Calibri"/>
          <w:b/>
          <w:sz w:val="22"/>
        </w:rPr>
        <w:t>Application Flow</w:t>
      </w:r>
      <w:r>
        <w:rPr>
          <w:rFonts w:ascii="Calibri" w:hAnsi="Calibri"/>
        </w:rPr>
        <w:t xml:space="preserve"> — 3-step wizard (Company Info → Category Fields → Review &amp; Submit) with auto-save drafts</w:t>
      </w:r>
    </w:p>
    <w:p>
      <w:pPr>
        <w:pStyle w:val="ListBullet"/>
        <w:ind w:left="360"/>
      </w:pPr>
      <w:r>
        <w:rPr>
          <w:rFonts w:ascii="Calibri" w:hAnsi="Calibri"/>
          <w:b/>
          <w:sz w:val="22"/>
        </w:rPr>
        <w:t>Dashboard Flow</w:t>
      </w:r>
      <w:r>
        <w:rPr>
          <w:rFonts w:ascii="Calibri" w:hAnsi="Calibri"/>
        </w:rPr>
        <w:t xml:space="preserve"> — View submitted applications and track status (Draft, Submitted, Under Review, Approved, Rejected)</w:t>
      </w:r>
    </w:p>
    <w:p>
      <w:pPr>
        <w:pStyle w:val="Heading2"/>
      </w:pPr>
      <w:r>
        <w:t>3.2 Standard Request Flow (Submitting an Application)</w:t>
      </w:r>
    </w:p>
    <w:p>
      <w:pPr>
        <w:spacing w:after="80"/>
      </w:pPr>
      <w:r>
        <w:rPr>
          <w:rFonts w:ascii="Calibri" w:hAnsi="Calibri"/>
          <w:b/>
          <w:color w:val="003F87"/>
          <w:sz w:val="22"/>
        </w:rPr>
        <w:t xml:space="preserve">Step 1: User Action: </w:t>
      </w:r>
      <w:r>
        <w:rPr>
          <w:rFonts w:ascii="Calibri" w:hAnsi="Calibri"/>
          <w:sz w:val="22"/>
        </w:rPr>
        <w:t>User clicks "Submit" on the Review step → React Hook Form triggers onSubmit</w:t>
      </w:r>
    </w:p>
    <w:p>
      <w:pPr>
        <w:spacing w:after="80"/>
      </w:pPr>
      <w:r>
        <w:rPr>
          <w:rFonts w:ascii="Calibri" w:hAnsi="Calibri"/>
          <w:b/>
          <w:color w:val="003F87"/>
          <w:sz w:val="22"/>
        </w:rPr>
        <w:t xml:space="preserve">Step 2: Client Validation: </w:t>
      </w:r>
      <w:r>
        <w:rPr>
          <w:rFonts w:ascii="Calibri" w:hAnsi="Calibri"/>
          <w:sz w:val="22"/>
        </w:rPr>
        <w:t>Zod schema validates all 200+ fields including cross-field refinements (e.g., 'If not manufactured in India → country of origin required')</w:t>
      </w:r>
    </w:p>
    <w:p>
      <w:pPr>
        <w:spacing w:after="80"/>
      </w:pPr>
      <w:r>
        <w:rPr>
          <w:rFonts w:ascii="Calibri" w:hAnsi="Calibri"/>
          <w:b/>
          <w:color w:val="003F87"/>
          <w:sz w:val="22"/>
        </w:rPr>
        <w:t xml:space="preserve">Step 3: API Request: </w:t>
      </w:r>
      <w:r>
        <w:rPr>
          <w:rFonts w:ascii="Calibri" w:hAnsi="Calibri"/>
          <w:sz w:val="22"/>
        </w:rPr>
        <w:t>PUT /api/applications/[id] sent with { status: "SUBMITTED", companyName, formData }</w:t>
      </w:r>
    </w:p>
    <w:p>
      <w:pPr>
        <w:spacing w:after="80"/>
      </w:pPr>
      <w:r>
        <w:rPr>
          <w:rFonts w:ascii="Calibri" w:hAnsi="Calibri"/>
          <w:b/>
          <w:color w:val="003F87"/>
          <w:sz w:val="22"/>
        </w:rPr>
        <w:t xml:space="preserve">Step 4: Middleware: </w:t>
      </w:r>
      <w:r>
        <w:rPr>
          <w:rFonts w:ascii="Calibri" w:hAnsi="Calibri"/>
          <w:sz w:val="22"/>
        </w:rPr>
        <w:t>NextAuth middleware verifies JWT session token from the request cookie</w:t>
      </w:r>
    </w:p>
    <w:p>
      <w:pPr>
        <w:spacing w:after="80"/>
      </w:pPr>
      <w:r>
        <w:rPr>
          <w:rFonts w:ascii="Calibri" w:hAnsi="Calibri"/>
          <w:b/>
          <w:color w:val="003F87"/>
          <w:sz w:val="22"/>
        </w:rPr>
        <w:t xml:space="preserve">Step 5: Server Validation: </w:t>
      </w:r>
      <w:r>
        <w:rPr>
          <w:rFonts w:ascii="Calibri" w:hAnsi="Calibri"/>
          <w:sz w:val="22"/>
        </w:rPr>
        <w:t>API handler confirms ownership (userId match), draft status, then runs server-side Zod validation via validateApplicationFormData()</w:t>
      </w:r>
    </w:p>
    <w:p>
      <w:pPr>
        <w:spacing w:after="80"/>
      </w:pPr>
      <w:r>
        <w:rPr>
          <w:rFonts w:ascii="Calibri" w:hAnsi="Calibri"/>
          <w:b/>
          <w:color w:val="003F87"/>
          <w:sz w:val="22"/>
        </w:rPr>
        <w:t xml:space="preserve">Step 6: Database: </w:t>
      </w:r>
      <w:r>
        <w:rPr>
          <w:rFonts w:ascii="Calibri" w:hAnsi="Calibri"/>
          <w:sz w:val="22"/>
        </w:rPr>
        <w:t>Prisma generates parameterised SQL UPDATE query → Neon PostgreSQL executes over SSL</w:t>
      </w:r>
    </w:p>
    <w:p>
      <w:pPr>
        <w:spacing w:after="80"/>
      </w:pPr>
      <w:r>
        <w:rPr>
          <w:rFonts w:ascii="Calibri" w:hAnsi="Calibri"/>
          <w:b/>
          <w:color w:val="003F87"/>
          <w:sz w:val="22"/>
        </w:rPr>
        <w:t xml:space="preserve">Step 7: Response: </w:t>
      </w:r>
      <w:r>
        <w:rPr>
          <w:rFonts w:ascii="Calibri" w:hAnsi="Calibri"/>
          <w:sz w:val="22"/>
        </w:rPr>
        <w:t>API responds with updated application object → frontend shows success toast notification</w:t>
      </w:r>
    </w:p>
    <w:p>
      <w:pPr>
        <w:pStyle w:val="Heading2"/>
      </w:pPr>
      <w:r>
        <w:t>3.3 Database Integration (Detailed)</w:t>
      </w:r>
    </w:p>
    <w:p>
      <w:pPr>
        <w:spacing w:after="160"/>
      </w:pPr>
      <w:r>
        <w:rPr>
          <w:rFonts w:ascii="Calibri" w:hAnsi="Calibri"/>
          <w:sz w:val="22"/>
        </w:rPr>
        <w:t>We use Prisma ORM v7.8 with the @prisma/adapter-pg driver adapter to establish a connection to Neon's serverless PostgreSQL. The connection is configured via the DATABASE_URL environment variable in .env.local, which contains a full PostgreSQL connection string with SSL mode enforced (?sslmode=require).</w:t>
      </w:r>
    </w:p>
    <w:p>
      <w:pPr>
        <w:spacing w:after="160"/>
      </w:pPr>
      <w:r>
        <w:rPr>
          <w:rFonts w:ascii="Calibri" w:hAnsi="Calibri"/>
          <w:sz w:val="22"/>
        </w:rPr>
        <w:t>Connection pooling is handled at the application level: we use a singleton pattern (lib/db.ts) that stores the PrismaClient instance on globalThis in development to prevent hot-reload from creating multiple connections, while production creates a single instance per server lifecycle.</w:t>
      </w:r>
    </w:p>
    <w:p>
      <w:r>
        <w:rPr>
          <w:rFonts w:ascii="Calibri" w:hAnsi="Calibri"/>
          <w:b/>
          <w:sz w:val="22"/>
        </w:rPr>
        <w:t>The schema consists of 3 main tables: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003F87" w:val="clear"/>
          </w:tcPr>
          <w:p>
            <w:pPr>
              <w:jc w:val="left"/>
            </w:pPr>
            <w:r>
              <w:rPr>
                <w:rFonts w:ascii="Calibri" w:hAnsi="Calibri"/>
                <w:b/>
                <w:color w:val="FFFFFF"/>
                <w:sz w:val="20"/>
              </w:rPr>
              <w:t>Table</w:t>
            </w:r>
          </w:p>
        </w:tc>
        <w:tc>
          <w:tcPr>
            <w:tcW w:type="dxa" w:w="2160"/>
            <w:shd w:fill="003F87" w:val="clear"/>
          </w:tcPr>
          <w:p>
            <w:pPr>
              <w:jc w:val="left"/>
            </w:pPr>
            <w:r>
              <w:rPr>
                <w:rFonts w:ascii="Calibri" w:hAnsi="Calibri"/>
                <w:b/>
                <w:color w:val="FFFFFF"/>
                <w:sz w:val="20"/>
              </w:rPr>
              <w:t>Purpose</w:t>
            </w:r>
          </w:p>
        </w:tc>
        <w:tc>
          <w:tcPr>
            <w:tcW w:type="dxa" w:w="4752"/>
            <w:shd w:fill="003F87" w:val="clear"/>
          </w:tcPr>
          <w:p>
            <w:pPr>
              <w:jc w:val="left"/>
            </w:pPr>
            <w:r>
              <w:rPr>
                <w:rFonts w:ascii="Calibri" w:hAnsi="Calibri"/>
                <w:b/>
                <w:color w:val="FFFFFF"/>
                <w:sz w:val="20"/>
              </w:rPr>
              <w:t>Key Fields</w:t>
            </w:r>
          </w:p>
        </w:tc>
      </w:tr>
      <w:tr>
        <w:tc>
          <w:tcPr>
            <w:tcW w:type="dxa" w:w="2592"/>
          </w:tcPr>
          <w:p>
            <w:r>
              <w:rPr>
                <w:rFonts w:ascii="Calibri" w:hAnsi="Calibri"/>
                <w:color w:val="333333"/>
                <w:sz w:val="20"/>
              </w:rPr>
              <w:t>User</w:t>
            </w:r>
          </w:p>
        </w:tc>
        <w:tc>
          <w:tcPr>
            <w:tcW w:type="dxa" w:w="2160"/>
          </w:tcPr>
          <w:p>
            <w:r>
              <w:rPr>
                <w:rFonts w:ascii="Calibri" w:hAnsi="Calibri"/>
                <w:color w:val="333333"/>
                <w:sz w:val="20"/>
              </w:rPr>
              <w:t>Vendor accounts</w:t>
            </w:r>
          </w:p>
        </w:tc>
        <w:tc>
          <w:tcPr>
            <w:tcW w:type="dxa" w:w="4752"/>
          </w:tcPr>
          <w:p>
            <w:r>
              <w:rPr>
                <w:rFonts w:ascii="Calibri" w:hAnsi="Calibri"/>
                <w:color w:val="333333"/>
                <w:sz w:val="20"/>
              </w:rPr>
              <w:t>id (CUID), panCard (UNIQUE), password (bcrypt), role (VENDOR/ADMIN)</w:t>
            </w:r>
          </w:p>
        </w:tc>
      </w:tr>
      <w:tr>
        <w:tc>
          <w:tcPr>
            <w:tcW w:type="dxa" w:w="2592"/>
            <w:shd w:fill="F0F4FA" w:val="clear"/>
          </w:tcPr>
          <w:p>
            <w:r>
              <w:rPr>
                <w:rFonts w:ascii="Calibri" w:hAnsi="Calibri"/>
                <w:color w:val="333333"/>
                <w:sz w:val="20"/>
              </w:rPr>
              <w:t>VendorApplication</w:t>
            </w:r>
          </w:p>
        </w:tc>
        <w:tc>
          <w:tcPr>
            <w:tcW w:type="dxa" w:w="2160"/>
            <w:shd w:fill="F0F4FA" w:val="clear"/>
          </w:tcPr>
          <w:p>
            <w:r>
              <w:rPr>
                <w:rFonts w:ascii="Calibri" w:hAnsi="Calibri"/>
                <w:color w:val="333333"/>
                <w:sz w:val="20"/>
              </w:rPr>
              <w:t>Application records</w:t>
            </w:r>
          </w:p>
        </w:tc>
        <w:tc>
          <w:tcPr>
            <w:tcW w:type="dxa" w:w="4752"/>
            <w:shd w:fill="F0F4FA" w:val="clear"/>
          </w:tcPr>
          <w:p>
            <w:r>
              <w:rPr>
                <w:rFonts w:ascii="Calibri" w:hAnsi="Calibri"/>
                <w:color w:val="333333"/>
                <w:sz w:val="20"/>
              </w:rPr>
              <w:t>id, userId (FK), category, status, companyName, formData (JSONB)</w:t>
            </w:r>
          </w:p>
        </w:tc>
      </w:tr>
      <w:tr>
        <w:tc>
          <w:tcPr>
            <w:tcW w:type="dxa" w:w="2592"/>
          </w:tcPr>
          <w:p>
            <w:r>
              <w:rPr>
                <w:rFonts w:ascii="Calibri" w:hAnsi="Calibri"/>
                <w:color w:val="333333"/>
                <w:sz w:val="20"/>
              </w:rPr>
              <w:t>ApplicationDocument</w:t>
            </w:r>
          </w:p>
        </w:tc>
        <w:tc>
          <w:tcPr>
            <w:tcW w:type="dxa" w:w="2160"/>
          </w:tcPr>
          <w:p>
            <w:r>
              <w:rPr>
                <w:rFonts w:ascii="Calibri" w:hAnsi="Calibri"/>
                <w:color w:val="333333"/>
                <w:sz w:val="20"/>
              </w:rPr>
              <w:t>Uploaded files</w:t>
            </w:r>
          </w:p>
        </w:tc>
        <w:tc>
          <w:tcPr>
            <w:tcW w:type="dxa" w:w="4752"/>
          </w:tcPr>
          <w:p>
            <w:r>
              <w:rPr>
                <w:rFonts w:ascii="Calibri" w:hAnsi="Calibri"/>
                <w:color w:val="333333"/>
                <w:sz w:val="20"/>
              </w:rPr>
              <w:t>id, applicationId (FK), documentType, fileName, fileUrl, mimeType</w:t>
            </w:r>
          </w:p>
        </w:tc>
      </w:tr>
    </w:tbl>
    <w:p/>
    <w:p>
      <w:r>
        <w:rPr>
          <w:rFonts w:ascii="Calibri" w:hAnsi="Calibri"/>
          <w:b/>
          <w:sz w:val="22"/>
        </w:rPr>
        <w:t>Key Relationships:</w:t>
      </w:r>
    </w:p>
    <w:p>
      <w:pPr>
        <w:pStyle w:val="ListBullet"/>
        <w:ind w:left="360"/>
      </w:pPr>
      <w:r>
        <w:rPr>
          <w:rFonts w:ascii="Calibri" w:hAnsi="Calibri"/>
          <w:b/>
          <w:sz w:val="22"/>
        </w:rPr>
        <w:t>User → VendorApplication</w:t>
      </w:r>
      <w:r>
        <w:rPr>
          <w:rFonts w:ascii="Calibri" w:hAnsi="Calibri"/>
        </w:rPr>
        <w:t xml:space="preserve"> — One-to-Many (a vendor can have multiple applications across categories)</w:t>
      </w:r>
    </w:p>
    <w:p>
      <w:pPr>
        <w:pStyle w:val="ListBullet"/>
        <w:ind w:left="360"/>
      </w:pPr>
      <w:r>
        <w:rPr>
          <w:rFonts w:ascii="Calibri" w:hAnsi="Calibri"/>
          <w:b/>
          <w:sz w:val="22"/>
        </w:rPr>
        <w:t>VendorApplication → ApplicationDocument</w:t>
      </w:r>
      <w:r>
        <w:rPr>
          <w:rFonts w:ascii="Calibri" w:hAnsi="Calibri"/>
        </w:rPr>
        <w:t xml:space="preserve"> — One-to-Many (each application can have multiple supporting documents)</w:t>
      </w:r>
    </w:p>
    <w:p>
      <w:pPr>
        <w:pStyle w:val="ListBullet"/>
        <w:ind w:left="360"/>
      </w:pPr>
      <w:r>
        <w:rPr>
          <w:rFonts w:ascii="Calibri" w:hAnsi="Calibri"/>
          <w:b/>
          <w:sz w:val="22"/>
        </w:rPr>
        <w:t>CASCADE Deletes</w:t>
      </w:r>
      <w:r>
        <w:rPr>
          <w:rFonts w:ascii="Calibri" w:hAnsi="Calibri"/>
        </w:rPr>
        <w:t xml:space="preserve"> — Deleting a user removes all their applications and documents automatically</w:t>
      </w:r>
    </w:p>
    <w:p/>
    <w:p>
      <w:r>
        <w:rPr>
          <w:rFonts w:ascii="Calibri" w:hAnsi="Calibri"/>
          <w:b/>
          <w:sz w:val="22"/>
        </w:rPr>
        <w:t>Database Indexes (6 total):</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003F87" w:val="clear"/>
          </w:tcPr>
          <w:p>
            <w:pPr>
              <w:jc w:val="left"/>
            </w:pPr>
            <w:r>
              <w:rPr>
                <w:rFonts w:ascii="Calibri" w:hAnsi="Calibri"/>
                <w:b/>
                <w:color w:val="FFFFFF"/>
                <w:sz w:val="20"/>
              </w:rPr>
              <w:t>Index</w:t>
            </w:r>
          </w:p>
        </w:tc>
        <w:tc>
          <w:tcPr>
            <w:tcW w:type="dxa" w:w="3312"/>
            <w:shd w:fill="003F87" w:val="clear"/>
          </w:tcPr>
          <w:p>
            <w:pPr>
              <w:jc w:val="left"/>
            </w:pPr>
            <w:r>
              <w:rPr>
                <w:rFonts w:ascii="Calibri" w:hAnsi="Calibri"/>
                <w:b/>
                <w:color w:val="FFFFFF"/>
                <w:sz w:val="20"/>
              </w:rPr>
              <w:t>Columns</w:t>
            </w:r>
          </w:p>
        </w:tc>
        <w:tc>
          <w:tcPr>
            <w:tcW w:type="dxa" w:w="4320"/>
            <w:shd w:fill="003F87" w:val="clear"/>
          </w:tcPr>
          <w:p>
            <w:pPr>
              <w:jc w:val="left"/>
            </w:pPr>
            <w:r>
              <w:rPr>
                <w:rFonts w:ascii="Calibri" w:hAnsi="Calibri"/>
                <w:b/>
                <w:color w:val="FFFFFF"/>
                <w:sz w:val="20"/>
              </w:rPr>
              <w:t>Purpose</w:t>
            </w:r>
          </w:p>
        </w:tc>
      </w:tr>
      <w:tr>
        <w:tc>
          <w:tcPr>
            <w:tcW w:type="dxa" w:w="1728"/>
          </w:tcPr>
          <w:p>
            <w:r>
              <w:rPr>
                <w:rFonts w:ascii="Calibri" w:hAnsi="Calibri"/>
                <w:color w:val="333333"/>
                <w:sz w:val="20"/>
              </w:rPr>
              <w:t>UNIQUE</w:t>
            </w:r>
          </w:p>
        </w:tc>
        <w:tc>
          <w:tcPr>
            <w:tcW w:type="dxa" w:w="3312"/>
          </w:tcPr>
          <w:p>
            <w:r>
              <w:rPr>
                <w:rFonts w:ascii="Calibri" w:hAnsi="Calibri"/>
                <w:color w:val="333333"/>
                <w:sz w:val="20"/>
              </w:rPr>
              <w:t>User.panCard</w:t>
            </w:r>
          </w:p>
        </w:tc>
        <w:tc>
          <w:tcPr>
            <w:tcW w:type="dxa" w:w="4320"/>
          </w:tcPr>
          <w:p>
            <w:r>
              <w:rPr>
                <w:rFonts w:ascii="Calibri" w:hAnsi="Calibri"/>
                <w:color w:val="333333"/>
                <w:sz w:val="20"/>
              </w:rPr>
              <w:t>Login lookups — O(1) access by PAN Card</w:t>
            </w:r>
          </w:p>
        </w:tc>
      </w:tr>
      <w:tr>
        <w:tc>
          <w:tcPr>
            <w:tcW w:type="dxa" w:w="1728"/>
            <w:shd w:fill="F0F4FA" w:val="clear"/>
          </w:tcPr>
          <w:p>
            <w:r>
              <w:rPr>
                <w:rFonts w:ascii="Calibri" w:hAnsi="Calibri"/>
                <w:color w:val="333333"/>
                <w:sz w:val="20"/>
              </w:rPr>
              <w:t>INDEX</w:t>
            </w:r>
          </w:p>
        </w:tc>
        <w:tc>
          <w:tcPr>
            <w:tcW w:type="dxa" w:w="3312"/>
            <w:shd w:fill="F0F4FA" w:val="clear"/>
          </w:tcPr>
          <w:p>
            <w:r>
              <w:rPr>
                <w:rFonts w:ascii="Calibri" w:hAnsi="Calibri"/>
                <w:color w:val="333333"/>
                <w:sz w:val="20"/>
              </w:rPr>
              <w:t>VendorApplication.userId</w:t>
            </w:r>
          </w:p>
        </w:tc>
        <w:tc>
          <w:tcPr>
            <w:tcW w:type="dxa" w:w="4320"/>
            <w:shd w:fill="F0F4FA" w:val="clear"/>
          </w:tcPr>
          <w:p>
            <w:r>
              <w:rPr>
                <w:rFonts w:ascii="Calibri" w:hAnsi="Calibri"/>
                <w:color w:val="333333"/>
                <w:sz w:val="20"/>
              </w:rPr>
              <w:t>Dashboard query: 'show my applications'</w:t>
            </w:r>
          </w:p>
        </w:tc>
      </w:tr>
      <w:tr>
        <w:tc>
          <w:tcPr>
            <w:tcW w:type="dxa" w:w="1728"/>
          </w:tcPr>
          <w:p>
            <w:r>
              <w:rPr>
                <w:rFonts w:ascii="Calibri" w:hAnsi="Calibri"/>
                <w:color w:val="333333"/>
                <w:sz w:val="20"/>
              </w:rPr>
              <w:t>INDEX</w:t>
            </w:r>
          </w:p>
        </w:tc>
        <w:tc>
          <w:tcPr>
            <w:tcW w:type="dxa" w:w="3312"/>
          </w:tcPr>
          <w:p>
            <w:r>
              <w:rPr>
                <w:rFonts w:ascii="Calibri" w:hAnsi="Calibri"/>
                <w:color w:val="333333"/>
                <w:sz w:val="20"/>
              </w:rPr>
              <w:t>VendorApplication.status</w:t>
            </w:r>
          </w:p>
        </w:tc>
        <w:tc>
          <w:tcPr>
            <w:tcW w:type="dxa" w:w="4320"/>
          </w:tcPr>
          <w:p>
            <w:r>
              <w:rPr>
                <w:rFonts w:ascii="Calibri" w:hAnsi="Calibri"/>
                <w:color w:val="333333"/>
                <w:sz w:val="20"/>
              </w:rPr>
              <w:t>Admin query: 'show all SUBMITTED applications'</w:t>
            </w:r>
          </w:p>
        </w:tc>
      </w:tr>
      <w:tr>
        <w:tc>
          <w:tcPr>
            <w:tcW w:type="dxa" w:w="1728"/>
            <w:shd w:fill="F0F4FA" w:val="clear"/>
          </w:tcPr>
          <w:p>
            <w:r>
              <w:rPr>
                <w:rFonts w:ascii="Calibri" w:hAnsi="Calibri"/>
                <w:color w:val="333333"/>
                <w:sz w:val="20"/>
              </w:rPr>
              <w:t>INDEX</w:t>
            </w:r>
          </w:p>
        </w:tc>
        <w:tc>
          <w:tcPr>
            <w:tcW w:type="dxa" w:w="3312"/>
            <w:shd w:fill="F0F4FA" w:val="clear"/>
          </w:tcPr>
          <w:p>
            <w:r>
              <w:rPr>
                <w:rFonts w:ascii="Calibri" w:hAnsi="Calibri"/>
                <w:color w:val="333333"/>
                <w:sz w:val="20"/>
              </w:rPr>
              <w:t>VendorApplication.category</w:t>
            </w:r>
          </w:p>
        </w:tc>
        <w:tc>
          <w:tcPr>
            <w:tcW w:type="dxa" w:w="4320"/>
            <w:shd w:fill="F0F4FA" w:val="clear"/>
          </w:tcPr>
          <w:p>
            <w:r>
              <w:rPr>
                <w:rFonts w:ascii="Calibri" w:hAnsi="Calibri"/>
                <w:color w:val="333333"/>
                <w:sz w:val="20"/>
              </w:rPr>
              <w:t>Admin filtering by category</w:t>
            </w:r>
          </w:p>
        </w:tc>
      </w:tr>
      <w:tr>
        <w:tc>
          <w:tcPr>
            <w:tcW w:type="dxa" w:w="1728"/>
          </w:tcPr>
          <w:p>
            <w:r>
              <w:rPr>
                <w:rFonts w:ascii="Calibri" w:hAnsi="Calibri"/>
                <w:color w:val="333333"/>
                <w:sz w:val="20"/>
              </w:rPr>
              <w:t>COMPOSITE</w:t>
            </w:r>
          </w:p>
        </w:tc>
        <w:tc>
          <w:tcPr>
            <w:tcW w:type="dxa" w:w="3312"/>
          </w:tcPr>
          <w:p>
            <w:r>
              <w:rPr>
                <w:rFonts w:ascii="Calibri" w:hAnsi="Calibri"/>
                <w:color w:val="333333"/>
                <w:sz w:val="20"/>
              </w:rPr>
              <w:t>userId + category + status</w:t>
            </w:r>
          </w:p>
        </w:tc>
        <w:tc>
          <w:tcPr>
            <w:tcW w:type="dxa" w:w="4320"/>
          </w:tcPr>
          <w:p>
            <w:r>
              <w:rPr>
                <w:rFonts w:ascii="Calibri" w:hAnsi="Calibri"/>
                <w:color w:val="333333"/>
                <w:sz w:val="20"/>
              </w:rPr>
              <w:t>Business rule: 'max 3 UNDER_REVIEW per category per vendor'</w:t>
            </w:r>
          </w:p>
        </w:tc>
      </w:tr>
      <w:tr>
        <w:tc>
          <w:tcPr>
            <w:tcW w:type="dxa" w:w="1728"/>
            <w:shd w:fill="F0F4FA" w:val="clear"/>
          </w:tcPr>
          <w:p>
            <w:r>
              <w:rPr>
                <w:rFonts w:ascii="Calibri" w:hAnsi="Calibri"/>
                <w:color w:val="333333"/>
                <w:sz w:val="20"/>
              </w:rPr>
              <w:t>INDEX</w:t>
            </w:r>
          </w:p>
        </w:tc>
        <w:tc>
          <w:tcPr>
            <w:tcW w:type="dxa" w:w="3312"/>
            <w:shd w:fill="F0F4FA" w:val="clear"/>
          </w:tcPr>
          <w:p>
            <w:r>
              <w:rPr>
                <w:rFonts w:ascii="Calibri" w:hAnsi="Calibri"/>
                <w:color w:val="333333"/>
                <w:sz w:val="20"/>
              </w:rPr>
              <w:t>ApplicationDocument.applicationId</w:t>
            </w:r>
          </w:p>
        </w:tc>
        <w:tc>
          <w:tcPr>
            <w:tcW w:type="dxa" w:w="4320"/>
            <w:shd w:fill="F0F4FA" w:val="clear"/>
          </w:tcPr>
          <w:p>
            <w:r>
              <w:rPr>
                <w:rFonts w:ascii="Calibri" w:hAnsi="Calibri"/>
                <w:color w:val="333333"/>
                <w:sz w:val="20"/>
              </w:rPr>
              <w:t>Join documents to applications</w:t>
            </w:r>
          </w:p>
        </w:tc>
      </w:tr>
    </w:tbl>
    <w:p/>
    <w:p>
      <w:r>
        <w:rPr>
          <w:rFonts w:ascii="Calibri" w:hAnsi="Calibri"/>
          <w:b/>
          <w:sz w:val="22"/>
        </w:rPr>
        <w:t>JSONB Strategy for formData:</w:t>
      </w:r>
    </w:p>
    <w:p>
      <w:pPr>
        <w:spacing w:after="160"/>
      </w:pPr>
      <w:r>
        <w:rPr>
          <w:rFonts w:ascii="Calibri" w:hAnsi="Calibri"/>
          <w:sz w:val="22"/>
        </w:rPr>
        <w:t>Rather than creating 200+ columns per category, we store category-specific form data as a single JSONB column. This allows each category (Civil, Electrical, Architecture) to have a completely different field schema without requiring database migrations when fields change. Validation is enforced at the application layer via Zod schemas rather than database constraints.</w:t>
      </w:r>
    </w:p>
    <w:p>
      <w:pPr>
        <w:pStyle w:val="Heading2"/>
      </w:pPr>
      <w:r>
        <w:t>3.4 Security &amp; Authentication</w:t>
      </w:r>
    </w:p>
    <w:tbl>
      <w:tblPr>
        <w:tblStyle w:val="TableGrid"/>
        <w:tblW w:type="auto" w:w="0"/>
        <w:jc w:val="center"/>
        <w:tblLook w:firstColumn="1" w:firstRow="1" w:lastColumn="0" w:lastRow="0" w:noHBand="0" w:noVBand="1" w:val="04A0"/>
      </w:tblPr>
      <w:tblGrid>
        <w:gridCol w:w="4680"/>
        <w:gridCol w:w="4680"/>
      </w:tblGrid>
      <w:tr>
        <w:tc>
          <w:tcPr>
            <w:tcW w:type="dxa" w:w="2880"/>
            <w:shd w:fill="003F87" w:val="clear"/>
          </w:tcPr>
          <w:p>
            <w:pPr>
              <w:jc w:val="left"/>
            </w:pPr>
            <w:r>
              <w:rPr>
                <w:rFonts w:ascii="Calibri" w:hAnsi="Calibri"/>
                <w:b/>
                <w:color w:val="FFFFFF"/>
                <w:sz w:val="20"/>
              </w:rPr>
              <w:t>Layer</w:t>
            </w:r>
          </w:p>
        </w:tc>
        <w:tc>
          <w:tcPr>
            <w:tcW w:type="dxa" w:w="6480"/>
            <w:shd w:fill="003F87" w:val="clear"/>
          </w:tcPr>
          <w:p>
            <w:pPr>
              <w:jc w:val="left"/>
            </w:pPr>
            <w:r>
              <w:rPr>
                <w:rFonts w:ascii="Calibri" w:hAnsi="Calibri"/>
                <w:b/>
                <w:color w:val="FFFFFF"/>
                <w:sz w:val="20"/>
              </w:rPr>
              <w:t>Mechanism</w:t>
            </w:r>
          </w:p>
        </w:tc>
      </w:tr>
      <w:tr>
        <w:tc>
          <w:tcPr>
            <w:tcW w:type="dxa" w:w="2880"/>
          </w:tcPr>
          <w:p>
            <w:r>
              <w:rPr>
                <w:rFonts w:ascii="Calibri" w:hAnsi="Calibri"/>
                <w:color w:val="333333"/>
                <w:sz w:val="20"/>
              </w:rPr>
              <w:t>Authentication</w:t>
            </w:r>
          </w:p>
        </w:tc>
        <w:tc>
          <w:tcPr>
            <w:tcW w:type="dxa" w:w="6480"/>
          </w:tcPr>
          <w:p>
            <w:r>
              <w:rPr>
                <w:rFonts w:ascii="Calibri" w:hAnsi="Calibri"/>
                <w:color w:val="333333"/>
                <w:sz w:val="20"/>
              </w:rPr>
              <w:t>NextAuth.js v5 with Credentials provider (PAN Card + Password)</w:t>
            </w:r>
          </w:p>
        </w:tc>
      </w:tr>
      <w:tr>
        <w:tc>
          <w:tcPr>
            <w:tcW w:type="dxa" w:w="2880"/>
            <w:shd w:fill="F0F4FA" w:val="clear"/>
          </w:tcPr>
          <w:p>
            <w:r>
              <w:rPr>
                <w:rFonts w:ascii="Calibri" w:hAnsi="Calibri"/>
                <w:color w:val="333333"/>
                <w:sz w:val="20"/>
              </w:rPr>
              <w:t>Password Storage</w:t>
            </w:r>
          </w:p>
        </w:tc>
        <w:tc>
          <w:tcPr>
            <w:tcW w:type="dxa" w:w="6480"/>
            <w:shd w:fill="F0F4FA" w:val="clear"/>
          </w:tcPr>
          <w:p>
            <w:r>
              <w:rPr>
                <w:rFonts w:ascii="Calibri" w:hAnsi="Calibri"/>
                <w:color w:val="333333"/>
                <w:sz w:val="20"/>
              </w:rPr>
              <w:t>bcryptjs with 12 salt rounds — never stored in plaintext</w:t>
            </w:r>
          </w:p>
        </w:tc>
      </w:tr>
      <w:tr>
        <w:tc>
          <w:tcPr>
            <w:tcW w:type="dxa" w:w="2880"/>
          </w:tcPr>
          <w:p>
            <w:r>
              <w:rPr>
                <w:rFonts w:ascii="Calibri" w:hAnsi="Calibri"/>
                <w:color w:val="333333"/>
                <w:sz w:val="20"/>
              </w:rPr>
              <w:t>Session Management</w:t>
            </w:r>
          </w:p>
        </w:tc>
        <w:tc>
          <w:tcPr>
            <w:tcW w:type="dxa" w:w="6480"/>
          </w:tcPr>
          <w:p>
            <w:r>
              <w:rPr>
                <w:rFonts w:ascii="Calibri" w:hAnsi="Calibri"/>
                <w:color w:val="333333"/>
                <w:sz w:val="20"/>
              </w:rPr>
              <w:t>JWT-based sessions (stateless, no server-side session store)</w:t>
            </w:r>
          </w:p>
        </w:tc>
      </w:tr>
      <w:tr>
        <w:tc>
          <w:tcPr>
            <w:tcW w:type="dxa" w:w="2880"/>
            <w:shd w:fill="F0F4FA" w:val="clear"/>
          </w:tcPr>
          <w:p>
            <w:r>
              <w:rPr>
                <w:rFonts w:ascii="Calibri" w:hAnsi="Calibri"/>
                <w:color w:val="333333"/>
                <w:sz w:val="20"/>
              </w:rPr>
              <w:t>Route Protection</w:t>
            </w:r>
          </w:p>
        </w:tc>
        <w:tc>
          <w:tcPr>
            <w:tcW w:type="dxa" w:w="6480"/>
            <w:shd w:fill="F0F4FA" w:val="clear"/>
          </w:tcPr>
          <w:p>
            <w:r>
              <w:rPr>
                <w:rFonts w:ascii="Calibri" w:hAnsi="Calibri"/>
                <w:color w:val="333333"/>
                <w:sz w:val="20"/>
              </w:rPr>
              <w:t>Next.js middleware intercepts all /dashboard/* routes</w:t>
            </w:r>
          </w:p>
        </w:tc>
      </w:tr>
      <w:tr>
        <w:tc>
          <w:tcPr>
            <w:tcW w:type="dxa" w:w="2880"/>
          </w:tcPr>
          <w:p>
            <w:r>
              <w:rPr>
                <w:rFonts w:ascii="Calibri" w:hAnsi="Calibri"/>
                <w:color w:val="333333"/>
                <w:sz w:val="20"/>
              </w:rPr>
              <w:t>API Authorization</w:t>
            </w:r>
          </w:p>
        </w:tc>
        <w:tc>
          <w:tcPr>
            <w:tcW w:type="dxa" w:w="6480"/>
          </w:tcPr>
          <w:p>
            <w:r>
              <w:rPr>
                <w:rFonts w:ascii="Calibri" w:hAnsi="Calibri"/>
                <w:color w:val="333333"/>
                <w:sz w:val="20"/>
              </w:rPr>
              <w:t>Every API endpoint verifies session; returns 401 if missing</w:t>
            </w:r>
          </w:p>
        </w:tc>
      </w:tr>
      <w:tr>
        <w:tc>
          <w:tcPr>
            <w:tcW w:type="dxa" w:w="2880"/>
            <w:shd w:fill="F0F4FA" w:val="clear"/>
          </w:tcPr>
          <w:p>
            <w:r>
              <w:rPr>
                <w:rFonts w:ascii="Calibri" w:hAnsi="Calibri"/>
                <w:color w:val="333333"/>
                <w:sz w:val="20"/>
              </w:rPr>
              <w:t>Ownership Enforcement</w:t>
            </w:r>
          </w:p>
        </w:tc>
        <w:tc>
          <w:tcPr>
            <w:tcW w:type="dxa" w:w="6480"/>
            <w:shd w:fill="F0F4FA" w:val="clear"/>
          </w:tcPr>
          <w:p>
            <w:r>
              <w:rPr>
                <w:rFonts w:ascii="Calibri" w:hAnsi="Calibri"/>
                <w:color w:val="333333"/>
                <w:sz w:val="20"/>
              </w:rPr>
              <w:t>All DB queries filter by userId — vendors cannot access others' data</w:t>
            </w:r>
          </w:p>
        </w:tc>
      </w:tr>
      <w:tr>
        <w:tc>
          <w:tcPr>
            <w:tcW w:type="dxa" w:w="2880"/>
          </w:tcPr>
          <w:p>
            <w:r>
              <w:rPr>
                <w:rFonts w:ascii="Calibri" w:hAnsi="Calibri"/>
                <w:color w:val="333333"/>
                <w:sz w:val="20"/>
              </w:rPr>
              <w:t>Input Validation</w:t>
            </w:r>
          </w:p>
        </w:tc>
        <w:tc>
          <w:tcPr>
            <w:tcW w:type="dxa" w:w="6480"/>
          </w:tcPr>
          <w:p>
            <w:r>
              <w:rPr>
                <w:rFonts w:ascii="Calibri" w:hAnsi="Calibri"/>
                <w:color w:val="333333"/>
                <w:sz w:val="20"/>
              </w:rPr>
              <w:t>Zod schemas validate all input on both client and server</w:t>
            </w:r>
          </w:p>
        </w:tc>
      </w:tr>
      <w:tr>
        <w:tc>
          <w:tcPr>
            <w:tcW w:type="dxa" w:w="2880"/>
            <w:shd w:fill="F0F4FA" w:val="clear"/>
          </w:tcPr>
          <w:p>
            <w:r>
              <w:rPr>
                <w:rFonts w:ascii="Calibri" w:hAnsi="Calibri"/>
                <w:color w:val="333333"/>
                <w:sz w:val="20"/>
              </w:rPr>
              <w:t>Rate Limiting</w:t>
            </w:r>
          </w:p>
        </w:tc>
        <w:tc>
          <w:tcPr>
            <w:tcW w:type="dxa" w:w="6480"/>
            <w:shd w:fill="F0F4FA" w:val="clear"/>
          </w:tcPr>
          <w:p>
            <w:r>
              <w:rPr>
                <w:rFonts w:ascii="Calibri" w:hAnsi="Calibri"/>
                <w:color w:val="333333"/>
                <w:sz w:val="20"/>
              </w:rPr>
              <w:t>Registration endpoint: 10 requests/minute/IP</w:t>
            </w:r>
          </w:p>
        </w:tc>
      </w:tr>
      <w:tr>
        <w:tc>
          <w:tcPr>
            <w:tcW w:type="dxa" w:w="2880"/>
          </w:tcPr>
          <w:p>
            <w:r>
              <w:rPr>
                <w:rFonts w:ascii="Calibri" w:hAnsi="Calibri"/>
                <w:color w:val="333333"/>
                <w:sz w:val="20"/>
              </w:rPr>
              <w:t>Database Connection</w:t>
            </w:r>
          </w:p>
        </w:tc>
        <w:tc>
          <w:tcPr>
            <w:tcW w:type="dxa" w:w="6480"/>
          </w:tcPr>
          <w:p>
            <w:r>
              <w:rPr>
                <w:rFonts w:ascii="Calibri" w:hAnsi="Calibri"/>
                <w:color w:val="333333"/>
                <w:sz w:val="20"/>
              </w:rPr>
              <w:t>SSL/TLS enforced via ?sslmode=require</w:t>
            </w:r>
          </w:p>
        </w:tc>
      </w:tr>
      <w:tr>
        <w:tc>
          <w:tcPr>
            <w:tcW w:type="dxa" w:w="2880"/>
            <w:shd w:fill="F0F4FA" w:val="clear"/>
          </w:tcPr>
          <w:p>
            <w:r>
              <w:rPr>
                <w:rFonts w:ascii="Calibri" w:hAnsi="Calibri"/>
                <w:color w:val="333333"/>
                <w:sz w:val="20"/>
              </w:rPr>
              <w:t>PAN Sanitisation</w:t>
            </w:r>
          </w:p>
        </w:tc>
        <w:tc>
          <w:tcPr>
            <w:tcW w:type="dxa" w:w="6480"/>
            <w:shd w:fill="F0F4FA" w:val="clear"/>
          </w:tcPr>
          <w:p>
            <w:r>
              <w:rPr>
                <w:rFonts w:ascii="Calibri" w:hAnsi="Calibri"/>
                <w:color w:val="333333"/>
                <w:sz w:val="20"/>
              </w:rPr>
              <w:t>All PAN inputs are .trim().toUpperCase() before storage</w:t>
            </w:r>
          </w:p>
        </w:tc>
      </w:tr>
    </w:tbl>
    <w:p>
      <w:r>
        <w:br w:type="page"/>
      </w:r>
    </w:p>
    <w:p>
      <w:pPr>
        <w:pStyle w:val="Heading1"/>
      </w:pPr>
      <w:r>
        <w:t>4. Development Lifecycle (Week-by-Week)</w:t>
      </w:r>
    </w:p>
    <w:p>
      <w:pPr>
        <w:spacing w:after="160"/>
      </w:pPr>
      <w:r>
        <w:rPr>
          <w:rFonts w:ascii="Calibri" w:hAnsi="Calibri"/>
          <w:sz w:val="22"/>
        </w:rPr>
        <w:t>Timeline derived from actual Git commit history (June 2–29, 2026).</w:t>
      </w:r>
    </w:p>
    <w:p>
      <w:pPr>
        <w:pStyle w:val="Heading2"/>
      </w:pPr>
      <w:r>
        <w:t>4.1 Week 1 (June 2–8): Planning, Architecture &amp; Foundation</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440"/>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Activity</w:t>
            </w:r>
          </w:p>
        </w:tc>
      </w:tr>
      <w:tr>
        <w:tc>
          <w:tcPr>
            <w:tcW w:type="dxa" w:w="1152"/>
          </w:tcPr>
          <w:p>
            <w:r>
              <w:rPr>
                <w:rFonts w:ascii="Calibri" w:hAnsi="Calibri"/>
                <w:color w:val="333333"/>
                <w:sz w:val="20"/>
              </w:rPr>
              <w:t>Jun 2</w:t>
            </w:r>
          </w:p>
        </w:tc>
        <w:tc>
          <w:tcPr>
            <w:tcW w:type="dxa" w:w="1440"/>
          </w:tcPr>
          <w:p>
            <w:r>
              <w:rPr>
                <w:rFonts w:ascii="Calibri" w:hAnsi="Calibri"/>
                <w:color w:val="333333"/>
                <w:sz w:val="20"/>
              </w:rPr>
              <w:t>1daf60b</w:t>
            </w:r>
          </w:p>
        </w:tc>
        <w:tc>
          <w:tcPr>
            <w:tcW w:type="dxa" w:w="6912"/>
          </w:tcPr>
          <w:p>
            <w:r>
              <w:rPr>
                <w:rFonts w:ascii="Calibri" w:hAnsi="Calibri"/>
                <w:color w:val="333333"/>
                <w:sz w:val="20"/>
              </w:rPr>
              <w:t>Repository initialization, .gitignore setup</w:t>
            </w:r>
          </w:p>
        </w:tc>
      </w:tr>
      <w:tr>
        <w:tc>
          <w:tcPr>
            <w:tcW w:type="dxa" w:w="1152"/>
            <w:shd w:fill="F0F4FA" w:val="clear"/>
          </w:tcPr>
          <w:p>
            <w:r>
              <w:rPr>
                <w:rFonts w:ascii="Calibri" w:hAnsi="Calibri"/>
                <w:color w:val="333333"/>
                <w:sz w:val="20"/>
              </w:rPr>
              <w:t>Jun 3</w:t>
            </w:r>
          </w:p>
        </w:tc>
        <w:tc>
          <w:tcPr>
            <w:tcW w:type="dxa" w:w="1440"/>
            <w:shd w:fill="F0F4FA" w:val="clear"/>
          </w:tcPr>
          <w:p>
            <w:r>
              <w:rPr>
                <w:rFonts w:ascii="Calibri" w:hAnsi="Calibri"/>
                <w:color w:val="333333"/>
                <w:sz w:val="20"/>
              </w:rPr>
              <w:t>d5e33f2</w:t>
            </w:r>
          </w:p>
        </w:tc>
        <w:tc>
          <w:tcPr>
            <w:tcW w:type="dxa" w:w="6912"/>
            <w:shd w:fill="F0F4FA" w:val="clear"/>
          </w:tcPr>
          <w:p>
            <w:r>
              <w:rPr>
                <w:rFonts w:ascii="Calibri" w:hAnsi="Calibri"/>
                <w:color w:val="333333"/>
                <w:sz w:val="20"/>
              </w:rPr>
              <w:t>Installed 20+ dependencies (next, react, prisma, next-auth, zod, bcryptjs, shadcn)</w:t>
            </w:r>
          </w:p>
        </w:tc>
      </w:tr>
      <w:tr>
        <w:tc>
          <w:tcPr>
            <w:tcW w:type="dxa" w:w="1152"/>
          </w:tcPr>
          <w:p>
            <w:r>
              <w:rPr>
                <w:rFonts w:ascii="Calibri" w:hAnsi="Calibri"/>
                <w:color w:val="333333"/>
                <w:sz w:val="20"/>
              </w:rPr>
              <w:t>Jun 6</w:t>
            </w:r>
          </w:p>
        </w:tc>
        <w:tc>
          <w:tcPr>
            <w:tcW w:type="dxa" w:w="1440"/>
          </w:tcPr>
          <w:p>
            <w:r>
              <w:rPr>
                <w:rFonts w:ascii="Calibri" w:hAnsi="Calibri"/>
                <w:color w:val="333333"/>
                <w:sz w:val="20"/>
              </w:rPr>
              <w:t>4125ec4</w:t>
            </w:r>
          </w:p>
        </w:tc>
        <w:tc>
          <w:tcPr>
            <w:tcW w:type="dxa" w:w="6912"/>
          </w:tcPr>
          <w:p>
            <w:r>
              <w:rPr>
                <w:rFonts w:ascii="Calibri" w:hAnsi="Calibri"/>
                <w:color w:val="333333"/>
                <w:sz w:val="20"/>
              </w:rPr>
              <w:t>Database schema (3 tables, 3 enums, 6 indexes), Prisma migration, Registration API, NextAuth v5</w:t>
            </w:r>
          </w:p>
        </w:tc>
      </w:tr>
      <w:tr>
        <w:tc>
          <w:tcPr>
            <w:tcW w:type="dxa" w:w="1152"/>
            <w:shd w:fill="F0F4FA" w:val="clear"/>
          </w:tcPr>
          <w:p>
            <w:r>
              <w:rPr>
                <w:rFonts w:ascii="Calibri" w:hAnsi="Calibri"/>
                <w:color w:val="333333"/>
                <w:sz w:val="20"/>
              </w:rPr>
              <w:t>Jun 6</w:t>
            </w:r>
          </w:p>
        </w:tc>
        <w:tc>
          <w:tcPr>
            <w:tcW w:type="dxa" w:w="1440"/>
            <w:shd w:fill="F0F4FA" w:val="clear"/>
          </w:tcPr>
          <w:p>
            <w:r>
              <w:rPr>
                <w:rFonts w:ascii="Calibri" w:hAnsi="Calibri"/>
                <w:color w:val="333333"/>
                <w:sz w:val="20"/>
              </w:rPr>
              <w:t>2321e94</w:t>
            </w:r>
          </w:p>
        </w:tc>
        <w:tc>
          <w:tcPr>
            <w:tcW w:type="dxa" w:w="6912"/>
            <w:shd w:fill="F0F4FA" w:val="clear"/>
          </w:tcPr>
          <w:p>
            <w:r>
              <w:rPr>
                <w:rFonts w:ascii="Calibri" w:hAnsi="Calibri"/>
                <w:color w:val="333333"/>
                <w:sz w:val="20"/>
              </w:rPr>
              <w:t>Git configuration and housekeeping</w:t>
            </w:r>
          </w:p>
        </w:tc>
      </w:tr>
      <w:tr>
        <w:tc>
          <w:tcPr>
            <w:tcW w:type="dxa" w:w="1152"/>
          </w:tcPr>
          <w:p>
            <w:r>
              <w:rPr>
                <w:rFonts w:ascii="Calibri" w:hAnsi="Calibri"/>
                <w:color w:val="333333"/>
                <w:sz w:val="20"/>
              </w:rPr>
              <w:t>Jun 8</w:t>
            </w:r>
          </w:p>
        </w:tc>
        <w:tc>
          <w:tcPr>
            <w:tcW w:type="dxa" w:w="1440"/>
          </w:tcPr>
          <w:p>
            <w:r>
              <w:rPr>
                <w:rFonts w:ascii="Calibri" w:hAnsi="Calibri"/>
                <w:color w:val="333333"/>
                <w:sz w:val="20"/>
              </w:rPr>
              <w:t>467826e</w:t>
            </w:r>
          </w:p>
        </w:tc>
        <w:tc>
          <w:tcPr>
            <w:tcW w:type="dxa" w:w="6912"/>
          </w:tcPr>
          <w:p>
            <w:r>
              <w:rPr>
                <w:rFonts w:ascii="Calibri" w:hAnsi="Calibri"/>
                <w:color w:val="333333"/>
                <w:sz w:val="20"/>
              </w:rPr>
              <w:t>Frontend scaffolding — Login, Register, Dashboard pages with DMRC branding</w:t>
            </w:r>
          </w:p>
        </w:tc>
      </w:tr>
      <w:tr>
        <w:tc>
          <w:tcPr>
            <w:tcW w:type="dxa" w:w="1152"/>
            <w:shd w:fill="F0F4FA" w:val="clear"/>
          </w:tcPr>
          <w:p>
            <w:r>
              <w:rPr>
                <w:rFonts w:ascii="Calibri" w:hAnsi="Calibri"/>
                <w:color w:val="333333"/>
                <w:sz w:val="20"/>
              </w:rPr>
              <w:t>Jun 8</w:t>
            </w:r>
          </w:p>
        </w:tc>
        <w:tc>
          <w:tcPr>
            <w:tcW w:type="dxa" w:w="1440"/>
            <w:shd w:fill="F0F4FA" w:val="clear"/>
          </w:tcPr>
          <w:p>
            <w:r>
              <w:rPr>
                <w:rFonts w:ascii="Calibri" w:hAnsi="Calibri"/>
                <w:color w:val="333333"/>
                <w:sz w:val="20"/>
              </w:rPr>
              <w:t>7da038e</w:t>
            </w:r>
          </w:p>
        </w:tc>
        <w:tc>
          <w:tcPr>
            <w:tcW w:type="dxa" w:w="6912"/>
            <w:shd w:fill="F0F4FA" w:val="clear"/>
          </w:tcPr>
          <w:p>
            <w:r>
              <w:rPr>
                <w:rFonts w:ascii="Calibri" w:hAnsi="Calibri"/>
                <w:color w:val="333333"/>
                <w:sz w:val="20"/>
              </w:rPr>
              <w:t>Application form architecture — multi-step wizard, base fields, category routing</w:t>
            </w:r>
          </w:p>
        </w:tc>
      </w:tr>
    </w:tbl>
    <w:p/>
    <w:p>
      <w:r>
        <w:rPr>
          <w:rFonts w:ascii="Calibri" w:hAnsi="Calibri"/>
          <w:b/>
          <w:sz w:val="22"/>
        </w:rPr>
        <w:t>Key decisions made during Week 1:</w:t>
      </w:r>
    </w:p>
    <w:p>
      <w:pPr>
        <w:pStyle w:val="ListBullet"/>
        <w:ind w:left="360"/>
      </w:pPr>
      <w:r>
        <w:rPr>
          <w:rFonts w:ascii="Calibri" w:hAnsi="Calibri"/>
          <w:b/>
          <w:sz w:val="22"/>
        </w:rPr>
        <w:t>PostgreSQL over MongoDB</w:t>
      </w:r>
      <w:r>
        <w:rPr>
          <w:rFonts w:ascii="Calibri" w:hAnsi="Calibri"/>
        </w:rPr>
        <w:t xml:space="preserve"> — for relational integrity</w:t>
      </w:r>
    </w:p>
    <w:p>
      <w:pPr>
        <w:pStyle w:val="ListBullet"/>
        <w:ind w:left="360"/>
      </w:pPr>
      <w:r>
        <w:rPr>
          <w:rFonts w:ascii="Calibri" w:hAnsi="Calibri"/>
          <w:b/>
          <w:sz w:val="22"/>
        </w:rPr>
        <w:t>JSONB for category-specific form data</w:t>
      </w:r>
      <w:r>
        <w:rPr>
          <w:rFonts w:ascii="Calibri" w:hAnsi="Calibri"/>
        </w:rPr>
        <w:t xml:space="preserve"> — for flexibility without schema migration</w:t>
      </w:r>
    </w:p>
    <w:p>
      <w:pPr>
        <w:pStyle w:val="ListBullet"/>
        <w:ind w:left="360"/>
      </w:pPr>
      <w:r>
        <w:rPr>
          <w:rFonts w:ascii="Calibri" w:hAnsi="Calibri"/>
          <w:b/>
          <w:sz w:val="22"/>
        </w:rPr>
        <w:t>JWT sessions over database sessions</w:t>
      </w:r>
      <w:r>
        <w:rPr>
          <w:rFonts w:ascii="Calibri" w:hAnsi="Calibri"/>
        </w:rPr>
        <w:t xml:space="preserve"> — for stateless, scalable sessions</w:t>
      </w:r>
    </w:p>
    <w:p>
      <w:pPr>
        <w:pStyle w:val="ListBullet"/>
        <w:ind w:left="360"/>
      </w:pPr>
      <w:r>
        <w:rPr>
          <w:rFonts w:ascii="Calibri" w:hAnsi="Calibri"/>
          <w:b/>
          <w:sz w:val="22"/>
        </w:rPr>
        <w:t>PAN Card as unique identifier</w:t>
      </w:r>
      <w:r>
        <w:rPr>
          <w:rFonts w:ascii="Calibri" w:hAnsi="Calibri"/>
        </w:rPr>
        <w:t xml:space="preserve"> — matching DMRC's existing vendor identification system</w:t>
      </w:r>
    </w:p>
    <w:p>
      <w:pPr>
        <w:pStyle w:val="ListBullet"/>
        <w:ind w:left="360"/>
      </w:pPr>
      <w:r>
        <w:rPr>
          <w:rFonts w:ascii="Calibri" w:hAnsi="Calibri"/>
          <w:b/>
          <w:sz w:val="22"/>
        </w:rPr>
        <w:t>3-step wizard pattern</w:t>
      </w:r>
      <w:r>
        <w:rPr>
          <w:rFonts w:ascii="Calibri" w:hAnsi="Calibri"/>
        </w:rPr>
        <w:t xml:space="preserve"> — for all categories (Company Info → Category Fields → Review &amp; Submit)</w:t>
      </w:r>
    </w:p>
    <w:p>
      <w:pPr>
        <w:pStyle w:val="Heading2"/>
      </w:pPr>
      <w:r>
        <w:t>4.2 Week 2 (June 9–15): Architecture Form &amp; Civil Form</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440"/>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Activity</w:t>
            </w:r>
          </w:p>
        </w:tc>
      </w:tr>
      <w:tr>
        <w:tc>
          <w:tcPr>
            <w:tcW w:type="dxa" w:w="1152"/>
          </w:tcPr>
          <w:p>
            <w:r>
              <w:rPr>
                <w:rFonts w:ascii="Calibri" w:hAnsi="Calibri"/>
                <w:color w:val="333333"/>
                <w:sz w:val="20"/>
              </w:rPr>
              <w:t>Jun 9</w:t>
            </w:r>
          </w:p>
        </w:tc>
        <w:tc>
          <w:tcPr>
            <w:tcW w:type="dxa" w:w="1440"/>
          </w:tcPr>
          <w:p>
            <w:r>
              <w:rPr>
                <w:rFonts w:ascii="Calibri" w:hAnsi="Calibri"/>
                <w:color w:val="333333"/>
                <w:sz w:val="20"/>
              </w:rPr>
              <w:t>a9f1f19</w:t>
            </w:r>
          </w:p>
        </w:tc>
        <w:tc>
          <w:tcPr>
            <w:tcW w:type="dxa" w:w="6912"/>
          </w:tcPr>
          <w:p>
            <w:r>
              <w:rPr>
                <w:rFonts w:ascii="Calibri" w:hAnsi="Calibri"/>
                <w:color w:val="333333"/>
                <w:sz w:val="20"/>
              </w:rPr>
              <w:t>Added reference work files (SQL material lists, PDF application forms)</w:t>
            </w:r>
          </w:p>
        </w:tc>
      </w:tr>
      <w:tr>
        <w:tc>
          <w:tcPr>
            <w:tcW w:type="dxa" w:w="1152"/>
            <w:shd w:fill="F0F4FA" w:val="clear"/>
          </w:tcPr>
          <w:p>
            <w:r>
              <w:rPr>
                <w:rFonts w:ascii="Calibri" w:hAnsi="Calibri"/>
                <w:color w:val="333333"/>
                <w:sz w:val="20"/>
              </w:rPr>
              <w:t>Jun 9</w:t>
            </w:r>
          </w:p>
        </w:tc>
        <w:tc>
          <w:tcPr>
            <w:tcW w:type="dxa" w:w="1440"/>
            <w:shd w:fill="F0F4FA" w:val="clear"/>
          </w:tcPr>
          <w:p>
            <w:r>
              <w:rPr>
                <w:rFonts w:ascii="Calibri" w:hAnsi="Calibri"/>
                <w:color w:val="333333"/>
                <w:sz w:val="20"/>
              </w:rPr>
              <w:t>0d6740f</w:t>
            </w:r>
          </w:p>
        </w:tc>
        <w:tc>
          <w:tcPr>
            <w:tcW w:type="dxa" w:w="6912"/>
            <w:shd w:fill="F0F4FA" w:val="clear"/>
          </w:tcPr>
          <w:p>
            <w:r>
              <w:rPr>
                <w:rFonts w:ascii="Calibri" w:hAnsi="Calibri"/>
                <w:color w:val="333333"/>
                <w:sz w:val="20"/>
              </w:rPr>
              <w:t>Branch integration — merged frontend and backend branches</w:t>
            </w:r>
          </w:p>
        </w:tc>
      </w:tr>
      <w:tr>
        <w:tc>
          <w:tcPr>
            <w:tcW w:type="dxa" w:w="1152"/>
          </w:tcPr>
          <w:p>
            <w:r>
              <w:rPr>
                <w:rFonts w:ascii="Calibri" w:hAnsi="Calibri"/>
                <w:color w:val="333333"/>
                <w:sz w:val="20"/>
              </w:rPr>
              <w:t>Jun 12</w:t>
            </w:r>
          </w:p>
        </w:tc>
        <w:tc>
          <w:tcPr>
            <w:tcW w:type="dxa" w:w="1440"/>
          </w:tcPr>
          <w:p>
            <w:r>
              <w:rPr>
                <w:rFonts w:ascii="Calibri" w:hAnsi="Calibri"/>
                <w:color w:val="333333"/>
                <w:sz w:val="20"/>
              </w:rPr>
              <w:t>c88fe3a</w:t>
            </w:r>
          </w:p>
        </w:tc>
        <w:tc>
          <w:tcPr>
            <w:tcW w:type="dxa" w:w="6912"/>
          </w:tcPr>
          <w:p>
            <w:r>
              <w:rPr>
                <w:rFonts w:ascii="Calibri" w:hAnsi="Calibri"/>
                <w:color w:val="333333"/>
                <w:sz w:val="20"/>
              </w:rPr>
              <w:t>Integration refinements</w:t>
            </w:r>
          </w:p>
        </w:tc>
      </w:tr>
      <w:tr>
        <w:tc>
          <w:tcPr>
            <w:tcW w:type="dxa" w:w="1152"/>
            <w:shd w:fill="F0F4FA" w:val="clear"/>
          </w:tcPr>
          <w:p>
            <w:r>
              <w:rPr>
                <w:rFonts w:ascii="Calibri" w:hAnsi="Calibri"/>
                <w:color w:val="333333"/>
                <w:sz w:val="20"/>
              </w:rPr>
              <w:t>Jun 12</w:t>
            </w:r>
          </w:p>
        </w:tc>
        <w:tc>
          <w:tcPr>
            <w:tcW w:type="dxa" w:w="1440"/>
            <w:shd w:fill="F0F4FA" w:val="clear"/>
          </w:tcPr>
          <w:p>
            <w:r>
              <w:rPr>
                <w:rFonts w:ascii="Calibri" w:hAnsi="Calibri"/>
                <w:color w:val="333333"/>
                <w:sz w:val="20"/>
              </w:rPr>
              <w:t>62f941a</w:t>
            </w:r>
          </w:p>
        </w:tc>
        <w:tc>
          <w:tcPr>
            <w:tcW w:type="dxa" w:w="6912"/>
            <w:shd w:fill="F0F4FA" w:val="clear"/>
          </w:tcPr>
          <w:p>
            <w:r>
              <w:rPr>
                <w:rFonts w:ascii="Calibri" w:hAnsi="Calibri"/>
                <w:color w:val="333333"/>
                <w:sz w:val="20"/>
              </w:rPr>
              <w:t>File organization and cleanup</w:t>
            </w:r>
          </w:p>
        </w:tc>
      </w:tr>
      <w:tr>
        <w:tc>
          <w:tcPr>
            <w:tcW w:type="dxa" w:w="1152"/>
          </w:tcPr>
          <w:p>
            <w:r>
              <w:rPr>
                <w:rFonts w:ascii="Calibri" w:hAnsi="Calibri"/>
                <w:color w:val="333333"/>
                <w:sz w:val="20"/>
              </w:rPr>
              <w:t>Jun 12</w:t>
            </w:r>
          </w:p>
        </w:tc>
        <w:tc>
          <w:tcPr>
            <w:tcW w:type="dxa" w:w="1440"/>
          </w:tcPr>
          <w:p>
            <w:r>
              <w:rPr>
                <w:rFonts w:ascii="Calibri" w:hAnsi="Calibri"/>
                <w:color w:val="333333"/>
                <w:sz w:val="20"/>
              </w:rPr>
              <w:t>3e98985</w:t>
            </w:r>
          </w:p>
        </w:tc>
        <w:tc>
          <w:tcPr>
            <w:tcW w:type="dxa" w:w="6912"/>
          </w:tcPr>
          <w:p>
            <w:r>
              <w:rPr>
                <w:rFonts w:ascii="Calibri" w:hAnsi="Calibri"/>
                <w:color w:val="333333"/>
                <w:sz w:val="20"/>
              </w:rPr>
              <w:t>Architecture form completed — ArchitectureFields.tsx (66KB), materials parsed</w:t>
            </w:r>
          </w:p>
        </w:tc>
      </w:tr>
    </w:tbl>
    <w:p/>
    <w:p>
      <w:r>
        <w:rPr>
          <w:rFonts w:ascii="Calibri" w:hAnsi="Calibri"/>
          <w:b/>
          <w:sz w:val="22"/>
        </w:rPr>
        <w:t>Key work accomplished:</w:t>
      </w:r>
    </w:p>
    <w:p>
      <w:pPr>
        <w:pStyle w:val="ListBullet"/>
        <w:ind w:left="360"/>
      </w:pPr>
      <w:r>
        <w:rPr>
          <w:rFonts w:ascii="Calibri" w:hAnsi="Calibri"/>
          <w:b/>
          <w:sz w:val="22"/>
        </w:rPr>
        <w:t>Parsed 128+ architecture materials</w:t>
      </w:r>
      <w:r>
        <w:rPr>
          <w:rFonts w:ascii="Calibri" w:hAnsi="Calibri"/>
        </w:rPr>
        <w:t xml:space="preserve"> — from legacy SQL files</w:t>
      </w:r>
    </w:p>
    <w:p>
      <w:pPr>
        <w:pStyle w:val="ListBullet"/>
        <w:ind w:left="360"/>
      </w:pPr>
      <w:r>
        <w:rPr>
          <w:rFonts w:ascii="Calibri" w:hAnsi="Calibri"/>
          <w:b/>
          <w:sz w:val="22"/>
        </w:rPr>
        <w:t>Built ArchitectureFields.tsx</w:t>
      </w:r>
      <w:r>
        <w:rPr>
          <w:rFonts w:ascii="Calibri" w:hAnsi="Calibri"/>
        </w:rPr>
        <w:t xml:space="preserve"> — with all 8 sections (A–H)</w:t>
      </w:r>
    </w:p>
    <w:p>
      <w:pPr>
        <w:pStyle w:val="ListBullet"/>
        <w:ind w:left="360"/>
      </w:pPr>
      <w:r>
        <w:rPr>
          <w:rFonts w:ascii="Calibri" w:hAnsi="Calibri"/>
          <w:b/>
          <w:sz w:val="22"/>
        </w:rPr>
        <w:t>Implemented CertificateRow.tsx</w:t>
      </w:r>
      <w:r>
        <w:rPr>
          <w:rFonts w:ascii="Calibri" w:hAnsi="Calibri"/>
        </w:rPr>
        <w:t xml:space="preserve"> — for certification entries with inline file upload</w:t>
      </w:r>
    </w:p>
    <w:p>
      <w:pPr>
        <w:pStyle w:val="ListBullet"/>
        <w:ind w:left="360"/>
      </w:pPr>
      <w:r>
        <w:rPr>
          <w:rFonts w:ascii="Calibri" w:hAnsi="Calibri"/>
          <w:b/>
          <w:sz w:val="22"/>
        </w:rPr>
        <w:t>Built FormReview.tsx</w:t>
      </w:r>
      <w:r>
        <w:rPr>
          <w:rFonts w:ascii="Calibri" w:hAnsi="Calibri"/>
        </w:rPr>
        <w:t xml:space="preserve"> — showing all submitted data in organized cards</w:t>
      </w:r>
    </w:p>
    <w:p>
      <w:pPr>
        <w:pStyle w:val="ListBullet"/>
        <w:ind w:left="360"/>
      </w:pPr>
      <w:r>
        <w:rPr>
          <w:rFonts w:ascii="Calibri" w:hAnsi="Calibri"/>
          <w:b/>
          <w:sz w:val="22"/>
        </w:rPr>
        <w:t>Implemented draft save/restore</w:t>
      </w:r>
      <w:r>
        <w:rPr>
          <w:rFonts w:ascii="Calibri" w:hAnsi="Calibri"/>
        </w:rPr>
        <w:t xml:space="preserve"> — (auto-loads draft when returning to a form)</w:t>
      </w:r>
    </w:p>
    <w:p>
      <w:pPr>
        <w:pStyle w:val="Heading2"/>
      </w:pPr>
      <w:r>
        <w:t>4.3 Week 3 (June 13–21): Civil &amp; Electrical Forms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440"/>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Activity</w:t>
            </w:r>
          </w:p>
        </w:tc>
      </w:tr>
      <w:tr>
        <w:tc>
          <w:tcPr>
            <w:tcW w:type="dxa" w:w="1152"/>
          </w:tcPr>
          <w:p>
            <w:r>
              <w:rPr>
                <w:rFonts w:ascii="Calibri" w:hAnsi="Calibri"/>
                <w:color w:val="333333"/>
                <w:sz w:val="20"/>
              </w:rPr>
              <w:t>Jun 20</w:t>
            </w:r>
          </w:p>
        </w:tc>
        <w:tc>
          <w:tcPr>
            <w:tcW w:type="dxa" w:w="1440"/>
          </w:tcPr>
          <w:p>
            <w:r>
              <w:rPr>
                <w:rFonts w:ascii="Calibri" w:hAnsi="Calibri"/>
                <w:color w:val="333333"/>
                <w:sz w:val="20"/>
              </w:rPr>
              <w:t>(dev)</w:t>
            </w:r>
          </w:p>
        </w:tc>
        <w:tc>
          <w:tcPr>
            <w:tcW w:type="dxa" w:w="6912"/>
          </w:tcPr>
          <w:p>
            <w:r>
              <w:rPr>
                <w:rFonts w:ascii="Calibri" w:hAnsi="Calibri"/>
                <w:color w:val="333333"/>
                <w:sz w:val="20"/>
              </w:rPr>
              <w:t>Civil form completed — CivilFields.tsx (74KB), 114 civil materials parsed</w:t>
            </w:r>
          </w:p>
        </w:tc>
      </w:tr>
      <w:tr>
        <w:tc>
          <w:tcPr>
            <w:tcW w:type="dxa" w:w="1152"/>
            <w:shd w:fill="F0F4FA" w:val="clear"/>
          </w:tcPr>
          <w:p>
            <w:r>
              <w:rPr>
                <w:rFonts w:ascii="Calibri" w:hAnsi="Calibri"/>
                <w:color w:val="333333"/>
                <w:sz w:val="20"/>
              </w:rPr>
              <w:t>Jun 21</w:t>
            </w:r>
          </w:p>
        </w:tc>
        <w:tc>
          <w:tcPr>
            <w:tcW w:type="dxa" w:w="1440"/>
            <w:shd w:fill="F0F4FA" w:val="clear"/>
          </w:tcPr>
          <w:p>
            <w:r>
              <w:rPr>
                <w:rFonts w:ascii="Calibri" w:hAnsi="Calibri"/>
                <w:color w:val="333333"/>
                <w:sz w:val="20"/>
              </w:rPr>
              <w:t>1390256</w:t>
            </w:r>
          </w:p>
        </w:tc>
        <w:tc>
          <w:tcPr>
            <w:tcW w:type="dxa" w:w="6912"/>
            <w:shd w:fill="F0F4FA" w:val="clear"/>
          </w:tcPr>
          <w:p>
            <w:r>
              <w:rPr>
                <w:rFonts w:ascii="Calibri" w:hAnsi="Calibri"/>
                <w:color w:val="333333"/>
                <w:sz w:val="20"/>
              </w:rPr>
              <w:t>Electrical form completed — ElectricalFields.tsx (143KB), 155 electrical materials parsed</w:t>
            </w:r>
          </w:p>
        </w:tc>
      </w:tr>
    </w:tbl>
    <w:p/>
    <w:p>
      <w:r>
        <w:rPr>
          <w:rFonts w:ascii="Calibri" w:hAnsi="Calibri"/>
          <w:b/>
          <w:sz w:val="22"/>
        </w:rPr>
        <w:t>Key work accomplished:</w:t>
      </w:r>
    </w:p>
    <w:p>
      <w:pPr>
        <w:pStyle w:val="ListBullet"/>
        <w:ind w:left="360"/>
      </w:pPr>
      <w:r>
        <w:rPr>
          <w:rFonts w:ascii="Calibri" w:hAnsi="Calibri"/>
          <w:b/>
          <w:sz w:val="22"/>
        </w:rPr>
        <w:t>Built CivilFields.tsx</w:t>
      </w:r>
      <w:r>
        <w:rPr>
          <w:rFonts w:ascii="Calibri" w:hAnsi="Calibri"/>
        </w:rPr>
        <w:t xml:space="preserve"> — — 1,800+ lines with Sections A–H, repeatable arrays</w:t>
      </w:r>
    </w:p>
    <w:p>
      <w:pPr>
        <w:pStyle w:val="ListBullet"/>
        <w:ind w:left="360"/>
      </w:pPr>
      <w:r>
        <w:rPr>
          <w:rFonts w:ascii="Calibri" w:hAnsi="Calibri"/>
          <w:b/>
          <w:sz w:val="22"/>
        </w:rPr>
        <w:t>Built ElectricalFields.tsx</w:t>
      </w:r>
      <w:r>
        <w:rPr>
          <w:rFonts w:ascii="Calibri" w:hAnsi="Calibri"/>
        </w:rPr>
        <w:t xml:space="preserve"> — — 3,100+ lines, the largest component, covering R&amp;D, type tests, after-sales</w:t>
      </w:r>
    </w:p>
    <w:p>
      <w:pPr>
        <w:pStyle w:val="ListBullet"/>
        <w:ind w:left="360"/>
      </w:pPr>
      <w:r>
        <w:rPr>
          <w:rFonts w:ascii="Calibri" w:hAnsi="Calibri"/>
          <w:b/>
          <w:sz w:val="22"/>
        </w:rPr>
        <w:t>Created materials.ts</w:t>
      </w:r>
      <w:r>
        <w:rPr>
          <w:rFonts w:ascii="Calibri" w:hAnsi="Calibri"/>
        </w:rPr>
        <w:t xml:space="preserve"> — — 534 lines, 397 materials across 3 categories</w:t>
      </w:r>
    </w:p>
    <w:p>
      <w:pPr>
        <w:pStyle w:val="ListBullet"/>
        <w:ind w:left="360"/>
      </w:pPr>
      <w:r>
        <w:rPr>
          <w:rFonts w:ascii="Calibri" w:hAnsi="Calibri"/>
          <w:b/>
          <w:sz w:val="22"/>
        </w:rPr>
        <w:t>Implemented cross-field validation</w:t>
      </w:r>
      <w:r>
        <w:rPr>
          <w:rFonts w:ascii="Calibri" w:hAnsi="Calibri"/>
        </w:rPr>
        <w:t xml:space="preserve"> — (e.g., 'If not made in India → country required')</w:t>
      </w:r>
    </w:p>
    <w:p>
      <w:pPr>
        <w:pStyle w:val="ListBullet"/>
        <w:ind w:left="360"/>
      </w:pPr>
      <w:r>
        <w:rPr>
          <w:rFonts w:ascii="Calibri" w:hAnsi="Calibri"/>
          <w:b/>
          <w:sz w:val="22"/>
        </w:rPr>
        <w:t>Zod schemas expanded to 794 lines</w:t>
      </w:r>
      <w:r>
        <w:rPr>
          <w:rFonts w:ascii="Calibri" w:hAnsi="Calibri"/>
        </w:rPr>
        <w:t xml:space="preserve"> — covering all 3 categories</w:t>
      </w:r>
    </w:p>
    <w:p>
      <w:pPr>
        <w:pStyle w:val="Heading2"/>
      </w:pPr>
      <w:r>
        <w:t>4.4 Week 4 (June 22–29): Integration, Bug Fixes &amp; Final Build</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003F87" w:val="clear"/>
          </w:tcPr>
          <w:p>
            <w:pPr>
              <w:jc w:val="left"/>
            </w:pPr>
            <w:r>
              <w:rPr>
                <w:rFonts w:ascii="Calibri" w:hAnsi="Calibri"/>
                <w:b/>
                <w:color w:val="FFFFFF"/>
                <w:sz w:val="20"/>
              </w:rPr>
              <w:t>Date</w:t>
            </w:r>
          </w:p>
        </w:tc>
        <w:tc>
          <w:tcPr>
            <w:tcW w:type="dxa" w:w="1440"/>
            <w:shd w:fill="003F87" w:val="clear"/>
          </w:tcPr>
          <w:p>
            <w:pPr>
              <w:jc w:val="left"/>
            </w:pPr>
            <w:r>
              <w:rPr>
                <w:rFonts w:ascii="Calibri" w:hAnsi="Calibri"/>
                <w:b/>
                <w:color w:val="FFFFFF"/>
                <w:sz w:val="20"/>
              </w:rPr>
              <w:t>Commit</w:t>
            </w:r>
          </w:p>
        </w:tc>
        <w:tc>
          <w:tcPr>
            <w:tcW w:type="dxa" w:w="6912"/>
            <w:shd w:fill="003F87" w:val="clear"/>
          </w:tcPr>
          <w:p>
            <w:pPr>
              <w:jc w:val="left"/>
            </w:pPr>
            <w:r>
              <w:rPr>
                <w:rFonts w:ascii="Calibri" w:hAnsi="Calibri"/>
                <w:b/>
                <w:color w:val="FFFFFF"/>
                <w:sz w:val="20"/>
              </w:rPr>
              <w:t>Activity</w:t>
            </w:r>
          </w:p>
        </w:tc>
      </w:tr>
      <w:tr>
        <w:tc>
          <w:tcPr>
            <w:tcW w:type="dxa" w:w="1152"/>
          </w:tcPr>
          <w:p>
            <w:r>
              <w:rPr>
                <w:rFonts w:ascii="Calibri" w:hAnsi="Calibri"/>
                <w:color w:val="333333"/>
                <w:sz w:val="20"/>
              </w:rPr>
              <w:t>Jun 21</w:t>
            </w:r>
          </w:p>
        </w:tc>
        <w:tc>
          <w:tcPr>
            <w:tcW w:type="dxa" w:w="1440"/>
          </w:tcPr>
          <w:p>
            <w:r>
              <w:rPr>
                <w:rFonts w:ascii="Calibri" w:hAnsi="Calibri"/>
                <w:color w:val="333333"/>
                <w:sz w:val="20"/>
              </w:rPr>
              <w:t>(fix)</w:t>
            </w:r>
          </w:p>
        </w:tc>
        <w:tc>
          <w:tcPr>
            <w:tcW w:type="dxa" w:w="6912"/>
          </w:tcPr>
          <w:p>
            <w:r>
              <w:rPr>
                <w:rFonts w:ascii="Calibri" w:hAnsi="Calibri"/>
                <w:color w:val="333333"/>
                <w:sz w:val="20"/>
              </w:rPr>
              <w:t>Fixed Zod v4 compatibility — z.boolean/z.enum required_error replaced</w:t>
            </w:r>
          </w:p>
        </w:tc>
      </w:tr>
      <w:tr>
        <w:tc>
          <w:tcPr>
            <w:tcW w:type="dxa" w:w="1152"/>
            <w:shd w:fill="F0F4FA" w:val="clear"/>
          </w:tcPr>
          <w:p>
            <w:r>
              <w:rPr>
                <w:rFonts w:ascii="Calibri" w:hAnsi="Calibri"/>
                <w:color w:val="333333"/>
                <w:sz w:val="20"/>
              </w:rPr>
              <w:t>Jun 29</w:t>
            </w:r>
          </w:p>
        </w:tc>
        <w:tc>
          <w:tcPr>
            <w:tcW w:type="dxa" w:w="1440"/>
            <w:shd w:fill="F0F4FA" w:val="clear"/>
          </w:tcPr>
          <w:p>
            <w:r>
              <w:rPr>
                <w:rFonts w:ascii="Calibri" w:hAnsi="Calibri"/>
                <w:color w:val="333333"/>
                <w:sz w:val="20"/>
              </w:rPr>
              <w:t>75c9b09</w:t>
            </w:r>
          </w:p>
        </w:tc>
        <w:tc>
          <w:tcPr>
            <w:tcW w:type="dxa" w:w="6912"/>
            <w:shd w:fill="F0F4FA" w:val="clear"/>
          </w:tcPr>
          <w:p>
            <w:r>
              <w:rPr>
                <w:rFonts w:ascii="Calibri" w:hAnsi="Calibri"/>
                <w:color w:val="333333"/>
                <w:sz w:val="20"/>
              </w:rPr>
              <w:t>Final integration — all 3 forms working, build passing</w:t>
            </w:r>
          </w:p>
        </w:tc>
      </w:tr>
    </w:tbl>
    <w:p/>
    <w:p>
      <w:r>
        <w:rPr>
          <w:rFonts w:ascii="Calibri" w:hAnsi="Calibri"/>
          <w:b/>
          <w:sz w:val="22"/>
        </w:rPr>
        <w:t>Key work accomplished:</w:t>
      </w:r>
    </w:p>
    <w:p>
      <w:pPr>
        <w:pStyle w:val="ListBullet"/>
        <w:ind w:left="360"/>
      </w:pPr>
      <w:r>
        <w:rPr>
          <w:rFonts w:ascii="Calibri" w:hAnsi="Calibri"/>
          <w:b/>
          <w:sz w:val="22"/>
        </w:rPr>
        <w:t>Resolved TypeScript strict mode compilation errors</w:t>
      </w:r>
      <w:r>
        <w:rPr>
          <w:rFonts w:ascii="Calibri" w:hAnsi="Calibri"/>
        </w:rPr>
        <w:t xml:space="preserve"> — across all Zod schemas</w:t>
      </w:r>
    </w:p>
    <w:p>
      <w:pPr>
        <w:pStyle w:val="ListBullet"/>
        <w:ind w:left="360"/>
      </w:pPr>
      <w:r>
        <w:rPr>
          <w:rFonts w:ascii="Calibri" w:hAnsi="Calibri"/>
          <w:b/>
          <w:sz w:val="22"/>
        </w:rPr>
        <w:t>Fixed duplicate property declarations</w:t>
      </w:r>
      <w:r>
        <w:rPr>
          <w:rFonts w:ascii="Calibri" w:hAnsi="Calibri"/>
        </w:rPr>
        <w:t xml:space="preserve"> — in form default values</w:t>
      </w:r>
    </w:p>
    <w:p>
      <w:pPr>
        <w:pStyle w:val="ListBullet"/>
        <w:ind w:left="360"/>
      </w:pPr>
      <w:r>
        <w:rPr>
          <w:rFonts w:ascii="Calibri" w:hAnsi="Calibri"/>
          <w:b/>
          <w:sz w:val="22"/>
        </w:rPr>
        <w:t>Built ViewApplication.tsx</w:t>
      </w:r>
      <w:r>
        <w:rPr>
          <w:rFonts w:ascii="Calibri" w:hAnsi="Calibri"/>
        </w:rPr>
        <w:t xml:space="preserve"> — for submitted forms</w:t>
      </w:r>
    </w:p>
    <w:p>
      <w:pPr>
        <w:pStyle w:val="ListBullet"/>
        <w:ind w:left="360"/>
      </w:pPr>
      <w:r>
        <w:rPr>
          <w:rFonts w:ascii="Calibri" w:hAnsi="Calibri"/>
          <w:b/>
          <w:sz w:val="22"/>
        </w:rPr>
        <w:t>Added delete functionality to ApplicationCard.tsx</w:t>
      </w:r>
      <w:r>
        <w:rPr>
          <w:rFonts w:ascii="Calibri" w:hAnsi="Calibri"/>
        </w:rPr>
        <w:t xml:space="preserve"> — for draft applications</w:t>
      </w:r>
    </w:p>
    <w:p>
      <w:pPr>
        <w:pStyle w:val="ListBullet"/>
        <w:ind w:left="360"/>
      </w:pPr>
      <w:r>
        <w:rPr>
          <w:rFonts w:ascii="Calibri" w:hAnsi="Calibri"/>
          <w:b/>
          <w:sz w:val="22"/>
        </w:rPr>
        <w:t>Verified production build passes cleanly</w:t>
      </w:r>
      <w:r>
        <w:rPr>
          <w:rFonts w:ascii="Calibri" w:hAnsi="Calibri"/>
        </w:rPr>
        <w:t xml:space="preserve"> — (npm run build — all 10 routes compile)</w:t>
      </w:r>
    </w:p>
    <w:p>
      <w:r>
        <w:br w:type="page"/>
      </w:r>
    </w:p>
    <w:p>
      <w:pPr>
        <w:pStyle w:val="Heading1"/>
      </w:pPr>
      <w:r>
        <w:t>5. Key Technical Challenges Overcome</w:t>
      </w:r>
    </w:p>
    <w:p>
      <w:pPr>
        <w:pStyle w:val="Heading2"/>
      </w:pPr>
      <w:r>
        <w:t>Challenge 1: Zod v4 API Breaking Changes</w:t>
      </w:r>
    </w:p>
    <w:p>
      <w:r>
        <w:rPr>
          <w:rFonts w:ascii="Calibri" w:hAnsi="Calibri"/>
          <w:b/>
          <w:sz w:val="22"/>
        </w:rPr>
        <w:t>Problem:</w:t>
      </w:r>
    </w:p>
    <w:p>
      <w:pPr>
        <w:spacing w:after="160"/>
      </w:pPr>
      <w:r>
        <w:rPr>
          <w:rFonts w:ascii="Calibri" w:hAnsi="Calibri"/>
          <w:sz w:val="22"/>
        </w:rPr>
        <w:t>The Zod validation library was upgraded to v4 during development, which introduced breaking API changes. Specifically, z.boolean({ required_error: "..." }) and z.enum([...], { required_error: "..." }) — patterns used extensively throughout our 794-line validation schema — were no longer supported. The TypeScript compiler rejected these with: 'Object literal may only specify known properties, and required_error does not exist in type...' This blocked the entire build for all 3 category forms.</w:t>
      </w:r>
    </w:p>
    <w:p>
      <w:r>
        <w:rPr>
          <w:rFonts w:ascii="Calibri" w:hAnsi="Calibri"/>
          <w:b/>
          <w:sz w:val="22"/>
        </w:rPr>
        <w:t>Solution:</w:t>
      </w:r>
    </w:p>
    <w:p>
      <w:pPr>
        <w:spacing w:after="160"/>
      </w:pPr>
      <w:r>
        <w:rPr>
          <w:rFonts w:ascii="Calibri" w:hAnsi="Calibri"/>
          <w:sz w:val="22"/>
        </w:rPr>
        <w:t>We audited every Zod schema declaration and applied two fixes: (1) For z.boolean() — replaced { required_error } with .default(false), enforcing true/false in the UI layer. (2) For z.enum() — replaced { required_error } with { message }, the Zod v4 equivalent. This required understanding the internal Zod v4 type signatures and choosing the semantically correct replacement for each case.</w:t>
      </w:r>
    </w:p>
    <w:p>
      <w:pPr>
        <w:pStyle w:val="Heading2"/>
      </w:pPr>
      <w:r>
        <w:t>Challenge 2: Massive Form State Management (800+ Fields)</w:t>
      </w:r>
    </w:p>
    <w:p>
      <w:r>
        <w:rPr>
          <w:rFonts w:ascii="Calibri" w:hAnsi="Calibri"/>
          <w:b/>
          <w:sz w:val="22"/>
        </w:rPr>
        <w:t>Problem:</w:t>
      </w:r>
    </w:p>
    <w:p>
      <w:pPr>
        <w:spacing w:after="160"/>
      </w:pPr>
      <w:r>
        <w:rPr>
          <w:rFonts w:ascii="Calibri" w:hAnsi="Calibri"/>
          <w:sz w:val="22"/>
        </w:rPr>
        <w:t>A single Electrical application form contains 200+ input fields, including 10+ repeatable arrays (manufacturing units, purchase orders, accredited labs, DMRC projects, etc.) where each array entry contains 4–8 fields. Managing this state with React's useState would cause catastrophic re-renders on every keystroke, making the form unusable after filling 50+ fields.</w:t>
      </w:r>
    </w:p>
    <w:p>
      <w:r>
        <w:rPr>
          <w:rFonts w:ascii="Calibri" w:hAnsi="Calibri"/>
          <w:b/>
          <w:sz w:val="22"/>
        </w:rPr>
        <w:t>Solution:</w:t>
      </w:r>
    </w:p>
    <w:p>
      <w:pPr>
        <w:spacing w:after="160"/>
      </w:pPr>
      <w:r>
        <w:rPr>
          <w:rFonts w:ascii="Calibri" w:hAnsi="Calibri"/>
          <w:sz w:val="22"/>
        </w:rPr>
        <w:t>We adopted React Hook Form's uncontrolled component pattern combined with useFieldArray for repeatable sections: (1) Form fields register with the controller but don't trigger re-renders on change. (2) useFieldArray provides append, remove, and fields methods for dynamic arrays. (3) Zod validation runs only on step transitions and submission, not every keystroke. (4) The 3-step wizard ensures only the active step's fields are mounted in the DOM at any time.</w:t>
      </w:r>
    </w:p>
    <w:p>
      <w:pPr>
        <w:pStyle w:val="Heading2"/>
      </w:pPr>
      <w:r>
        <w:t>Challenge 3: Legacy SQL Material Data Migration</w:t>
      </w:r>
    </w:p>
    <w:p>
      <w:r>
        <w:rPr>
          <w:rFonts w:ascii="Calibri" w:hAnsi="Calibri"/>
          <w:b/>
          <w:sz w:val="22"/>
        </w:rPr>
        <w:t>Problem:</w:t>
      </w:r>
    </w:p>
    <w:p>
      <w:pPr>
        <w:spacing w:after="160"/>
      </w:pPr>
      <w:r>
        <w:rPr>
          <w:rFonts w:ascii="Calibri" w:hAnsi="Calibri"/>
          <w:sz w:val="22"/>
        </w:rPr>
        <w:t>DMRC's existing material catalogues were stored in legacy SQL INSERT statements (arc_material_old.sql with 128 entries, civil_materials_old.sql with 114 entries, electricals_material_old.sql with 155 entries). These had inconsistent formatting, Unicode characters, escaped quotes, and no structured grouping.</w:t>
      </w:r>
    </w:p>
    <w:p>
      <w:r>
        <w:rPr>
          <w:rFonts w:ascii="Calibri" w:hAnsi="Calibri"/>
          <w:b/>
          <w:sz w:val="22"/>
        </w:rPr>
        <w:t>Solution:</w:t>
      </w:r>
    </w:p>
    <w:p>
      <w:pPr>
        <w:spacing w:after="160"/>
      </w:pPr>
      <w:r>
        <w:rPr>
          <w:rFonts w:ascii="Calibri" w:hAnsi="Calibri"/>
          <w:sz w:val="22"/>
        </w:rPr>
        <w:t>We wrote Python parsing scripts (parse_sql.py, parse_civil_sql.py, parse_electrical_sql.py) that: (1) Read each SQL file and extracted INSERT values using regex. (2) Cleaned and normalized material names. (3) Generated structured JSON with id, value (machine-readable slug), and label (human-readable name). (4) Grouped materials by category/sub-category. (5) Output was converted into the TypeScript materials.ts file (534 lines, 397 unique materials).</w:t>
      </w:r>
    </w:p>
    <w:p>
      <w:r>
        <w:br w:type="page"/>
      </w:r>
    </w:p>
    <w:p>
      <w:pPr>
        <w:pStyle w:val="Heading1"/>
      </w:pPr>
      <w:r>
        <w:t>6. Future Scope &amp; Scalability</w:t>
      </w:r>
    </w:p>
    <w:p>
      <w:pPr>
        <w:spacing w:after="160"/>
      </w:pPr>
      <w:r>
        <w:rPr>
          <w:rFonts w:ascii="Calibri" w:hAnsi="Calibri"/>
          <w:sz w:val="22"/>
        </w:rPr>
        <w:t>If given another 3 months, these are the immediate technical next steps:</w:t>
      </w:r>
    </w:p>
    <w:p>
      <w:pPr>
        <w:pStyle w:val="Heading3"/>
      </w:pPr>
      <w:r>
        <w:t>Phase 1: Admin Dashboard (Weeks 1–3)</w:t>
      </w:r>
    </w:p>
    <w:p>
      <w:pPr>
        <w:pStyle w:val="ListBullet"/>
        <w:ind w:left="360"/>
      </w:pPr>
      <w:r>
        <w:rPr>
          <w:rFonts w:ascii="Calibri" w:hAnsi="Calibri"/>
          <w:sz w:val="22"/>
        </w:rPr>
        <w:t>Admin review interface — DMRC officers can view, filter, approve/reject applications</w:t>
      </w:r>
    </w:p>
    <w:p>
      <w:pPr>
        <w:pStyle w:val="ListBullet"/>
        <w:ind w:left="360"/>
      </w:pPr>
      <w:r>
        <w:rPr>
          <w:rFonts w:ascii="Calibri" w:hAnsi="Calibri"/>
          <w:sz w:val="22"/>
        </w:rPr>
        <w:t>Role-based access control — expand UserRole to support multi-level approval workflows</w:t>
      </w:r>
    </w:p>
    <w:p>
      <w:pPr>
        <w:pStyle w:val="ListBullet"/>
        <w:ind w:left="360"/>
      </w:pPr>
      <w:r>
        <w:rPr>
          <w:rFonts w:ascii="Calibri" w:hAnsi="Calibri"/>
          <w:sz w:val="22"/>
        </w:rPr>
        <w:t>Audit trail — log every status change with timestamp and officer ID</w:t>
      </w:r>
    </w:p>
    <w:p>
      <w:pPr>
        <w:pStyle w:val="Heading3"/>
      </w:pPr>
      <w:r>
        <w:t>Phase 2: Document Management (Weeks 2–4)</w:t>
      </w:r>
    </w:p>
    <w:p>
      <w:pPr>
        <w:pStyle w:val="ListBullet"/>
        <w:ind w:left="360"/>
      </w:pPr>
      <w:r>
        <w:rPr>
          <w:rFonts w:ascii="Calibri" w:hAnsi="Calibri"/>
          <w:sz w:val="22"/>
        </w:rPr>
        <w:t>Cloud file storage — migrate to AWS S3 or Cloudflare R2 for production-grade storage</w:t>
      </w:r>
    </w:p>
    <w:p>
      <w:pPr>
        <w:pStyle w:val="ListBullet"/>
        <w:ind w:left="360"/>
      </w:pPr>
      <w:r>
        <w:rPr>
          <w:rFonts w:ascii="Calibri" w:hAnsi="Calibri"/>
          <w:sz w:val="22"/>
        </w:rPr>
        <w:t>File type validation — enforce PDF-only uploads with 5MB size limits</w:t>
      </w:r>
    </w:p>
    <w:p>
      <w:pPr>
        <w:pStyle w:val="ListBullet"/>
        <w:ind w:left="360"/>
      </w:pPr>
      <w:r>
        <w:rPr>
          <w:rFonts w:ascii="Calibri" w:hAnsi="Calibri"/>
          <w:sz w:val="22"/>
        </w:rPr>
        <w:t>Document preview — inline PDF viewer for certificates and reports</w:t>
      </w:r>
    </w:p>
    <w:p>
      <w:pPr>
        <w:pStyle w:val="Heading3"/>
      </w:pPr>
      <w:r>
        <w:t>Phase 3: Communication &amp; Notifications (Weeks 4–6)</w:t>
      </w:r>
    </w:p>
    <w:p>
      <w:pPr>
        <w:pStyle w:val="ListBullet"/>
        <w:ind w:left="360"/>
      </w:pPr>
      <w:r>
        <w:rPr>
          <w:rFonts w:ascii="Calibri" w:hAnsi="Calibri"/>
          <w:sz w:val="22"/>
        </w:rPr>
        <w:t>Email notifications — automated emails on status changes using Resend or SendGrid</w:t>
      </w:r>
    </w:p>
    <w:p>
      <w:pPr>
        <w:pStyle w:val="ListBullet"/>
        <w:ind w:left="360"/>
      </w:pPr>
      <w:r>
        <w:rPr>
          <w:rFonts w:ascii="Calibri" w:hAnsi="Calibri"/>
          <w:sz w:val="22"/>
        </w:rPr>
        <w:t>SMS alerts — integrate with DMRC's existing SMS gateway for OTP verification</w:t>
      </w:r>
    </w:p>
    <w:p>
      <w:pPr>
        <w:pStyle w:val="ListBullet"/>
        <w:ind w:left="360"/>
      </w:pPr>
      <w:r>
        <w:rPr>
          <w:rFonts w:ascii="Calibri" w:hAnsi="Calibri"/>
          <w:sz w:val="22"/>
        </w:rPr>
        <w:t>In-app notifications — real-time notification bell for status updates</w:t>
      </w:r>
    </w:p>
    <w:p>
      <w:pPr>
        <w:pStyle w:val="Heading3"/>
      </w:pPr>
      <w:r>
        <w:t>Phase 4: Performance &amp; Scale (Weeks 6–8)</w:t>
      </w:r>
    </w:p>
    <w:p>
      <w:pPr>
        <w:pStyle w:val="ListBullet"/>
        <w:ind w:left="360"/>
      </w:pPr>
      <w:r>
        <w:rPr>
          <w:rFonts w:ascii="Calibri" w:hAnsi="Calibri"/>
          <w:sz w:val="22"/>
        </w:rPr>
        <w:t>Redis caching — cache material lists and user sessions to reduce database load</w:t>
      </w:r>
    </w:p>
    <w:p>
      <w:pPr>
        <w:pStyle w:val="ListBullet"/>
        <w:ind w:left="360"/>
      </w:pPr>
      <w:r>
        <w:rPr>
          <w:rFonts w:ascii="Calibri" w:hAnsi="Calibri"/>
          <w:sz w:val="22"/>
        </w:rPr>
        <w:t>Connection pooling — PgBouncer or Neon's built-in pooling for production traffic</w:t>
      </w:r>
    </w:p>
    <w:p>
      <w:pPr>
        <w:pStyle w:val="ListBullet"/>
        <w:ind w:left="360"/>
      </w:pPr>
      <w:r>
        <w:rPr>
          <w:rFonts w:ascii="Calibri" w:hAnsi="Calibri"/>
          <w:sz w:val="22"/>
        </w:rPr>
        <w:t>Load testing — simulate 500+ concurrent submissions using k6 or Artillery</w:t>
      </w:r>
    </w:p>
    <w:p>
      <w:pPr>
        <w:pStyle w:val="Heading3"/>
      </w:pPr>
      <w:r>
        <w:t>Phase 5: Analytics &amp; Reporting (Weeks 8–10)</w:t>
      </w:r>
    </w:p>
    <w:p>
      <w:pPr>
        <w:pStyle w:val="ListBullet"/>
        <w:ind w:left="360"/>
      </w:pPr>
      <w:r>
        <w:rPr>
          <w:rFonts w:ascii="Calibri" w:hAnsi="Calibri"/>
          <w:sz w:val="22"/>
        </w:rPr>
        <w:t>Dashboard analytics — charts showing volume, approval rates, processing time</w:t>
      </w:r>
    </w:p>
    <w:p>
      <w:pPr>
        <w:pStyle w:val="ListBullet"/>
        <w:ind w:left="360"/>
      </w:pPr>
      <w:r>
        <w:rPr>
          <w:rFonts w:ascii="Calibri" w:hAnsi="Calibri"/>
          <w:sz w:val="22"/>
        </w:rPr>
        <w:t>Export functionality — generate PDF summaries for offline review</w:t>
      </w:r>
    </w:p>
    <w:p>
      <w:pPr>
        <w:pStyle w:val="ListBullet"/>
        <w:ind w:left="360"/>
      </w:pPr>
      <w:r>
        <w:rPr>
          <w:rFonts w:ascii="Calibri" w:hAnsi="Calibri"/>
          <w:sz w:val="22"/>
        </w:rPr>
        <w:t>Bulk operations — admin ability to approve/reject multiple applications at once</w:t>
      </w:r>
    </w:p>
    <w:p>
      <w:pPr>
        <w:pStyle w:val="Heading3"/>
      </w:pPr>
      <w:r>
        <w:t>Phase 6: Production Deployment (Weeks 10–12)</w:t>
      </w:r>
    </w:p>
    <w:p>
      <w:pPr>
        <w:pStyle w:val="ListBullet"/>
        <w:ind w:left="360"/>
      </w:pPr>
      <w:r>
        <w:rPr>
          <w:rFonts w:ascii="Calibri" w:hAnsi="Calibri"/>
          <w:sz w:val="22"/>
        </w:rPr>
        <w:t>Vercel deployment — Next.js-optimized hosting with edge caching and auto SSL</w:t>
      </w:r>
    </w:p>
    <w:p>
      <w:pPr>
        <w:pStyle w:val="ListBullet"/>
        <w:ind w:left="360"/>
      </w:pPr>
      <w:r>
        <w:rPr>
          <w:rFonts w:ascii="Calibri" w:hAnsi="Calibri"/>
          <w:sz w:val="22"/>
        </w:rPr>
        <w:t>CI/CD pipeline — GitHub Actions for automated testing, linting, deployment</w:t>
      </w:r>
    </w:p>
    <w:p>
      <w:pPr>
        <w:pStyle w:val="ListBullet"/>
        <w:ind w:left="360"/>
      </w:pPr>
      <w:r>
        <w:rPr>
          <w:rFonts w:ascii="Calibri" w:hAnsi="Calibri"/>
          <w:sz w:val="22"/>
        </w:rPr>
        <w:t>Monitoring — Sentry for error tracking, Vercel Analytics for performance</w:t>
      </w:r>
    </w:p>
    <w:p>
      <w:r>
        <w:br w:type="page"/>
      </w:r>
    </w:p>
    <w:p>
      <w:pPr>
        <w:pStyle w:val="Heading1"/>
      </w:pPr>
      <w:r>
        <w:t>Appendix A: File Inventory &amp; API Endpoints</w:t>
      </w:r>
    </w:p>
    <w:p>
      <w:pPr>
        <w:pStyle w:val="Heading2"/>
      </w:pPr>
      <w:r>
        <w:t>Application Code Files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003F87" w:val="clear"/>
          </w:tcPr>
          <w:p>
            <w:pPr>
              <w:jc w:val="left"/>
            </w:pPr>
            <w:r>
              <w:rPr>
                <w:rFonts w:ascii="Calibri" w:hAnsi="Calibri"/>
                <w:b/>
                <w:color w:val="FFFFFF"/>
                <w:sz w:val="20"/>
              </w:rPr>
              <w:t>File</w:t>
            </w:r>
          </w:p>
        </w:tc>
        <w:tc>
          <w:tcPr>
            <w:tcW w:type="dxa" w:w="1440"/>
            <w:shd w:fill="003F87" w:val="clear"/>
          </w:tcPr>
          <w:p>
            <w:pPr>
              <w:jc w:val="left"/>
            </w:pPr>
            <w:r>
              <w:rPr>
                <w:rFonts w:ascii="Calibri" w:hAnsi="Calibri"/>
                <w:b/>
                <w:color w:val="FFFFFF"/>
                <w:sz w:val="20"/>
              </w:rPr>
              <w:t>Size</w:t>
            </w:r>
          </w:p>
        </w:tc>
        <w:tc>
          <w:tcPr>
            <w:tcW w:type="dxa" w:w="5040"/>
            <w:shd w:fill="003F87" w:val="clear"/>
          </w:tcPr>
          <w:p>
            <w:pPr>
              <w:jc w:val="left"/>
            </w:pPr>
            <w:r>
              <w:rPr>
                <w:rFonts w:ascii="Calibri" w:hAnsi="Calibri"/>
                <w:b/>
                <w:color w:val="FFFFFF"/>
                <w:sz w:val="20"/>
              </w:rPr>
              <w:t>Purpose</w:t>
            </w:r>
          </w:p>
        </w:tc>
      </w:tr>
      <w:tr>
        <w:tc>
          <w:tcPr>
            <w:tcW w:type="dxa" w:w="2880"/>
          </w:tcPr>
          <w:p>
            <w:r>
              <w:rPr>
                <w:rFonts w:ascii="Calibri" w:hAnsi="Calibri"/>
                <w:color w:val="333333"/>
                <w:sz w:val="20"/>
              </w:rPr>
              <w:t>layout.tsx</w:t>
            </w:r>
          </w:p>
        </w:tc>
        <w:tc>
          <w:tcPr>
            <w:tcW w:type="dxa" w:w="1440"/>
          </w:tcPr>
          <w:p>
            <w:r>
              <w:rPr>
                <w:rFonts w:ascii="Calibri" w:hAnsi="Calibri"/>
                <w:color w:val="333333"/>
                <w:sz w:val="20"/>
              </w:rPr>
              <w:t>1.1 KB</w:t>
            </w:r>
          </w:p>
        </w:tc>
        <w:tc>
          <w:tcPr>
            <w:tcW w:type="dxa" w:w="5040"/>
          </w:tcPr>
          <w:p>
            <w:r>
              <w:rPr>
                <w:rFonts w:ascii="Calibri" w:hAnsi="Calibri"/>
                <w:color w:val="333333"/>
                <w:sz w:val="20"/>
              </w:rPr>
              <w:t>Root layout — Header, Footer, Toaster</w:t>
            </w:r>
          </w:p>
        </w:tc>
      </w:tr>
      <w:tr>
        <w:tc>
          <w:tcPr>
            <w:tcW w:type="dxa" w:w="2880"/>
            <w:shd w:fill="F0F4FA" w:val="clear"/>
          </w:tcPr>
          <w:p>
            <w:r>
              <w:rPr>
                <w:rFonts w:ascii="Calibri" w:hAnsi="Calibri"/>
                <w:color w:val="333333"/>
                <w:sz w:val="20"/>
              </w:rPr>
              <w:t>globals.css</w:t>
            </w:r>
          </w:p>
        </w:tc>
        <w:tc>
          <w:tcPr>
            <w:tcW w:type="dxa" w:w="1440"/>
            <w:shd w:fill="F0F4FA" w:val="clear"/>
          </w:tcPr>
          <w:p>
            <w:r>
              <w:rPr>
                <w:rFonts w:ascii="Calibri" w:hAnsi="Calibri"/>
                <w:color w:val="333333"/>
                <w:sz w:val="20"/>
              </w:rPr>
              <w:t>5.7 KB</w:t>
            </w:r>
          </w:p>
        </w:tc>
        <w:tc>
          <w:tcPr>
            <w:tcW w:type="dxa" w:w="5040"/>
            <w:shd w:fill="F0F4FA" w:val="clear"/>
          </w:tcPr>
          <w:p>
            <w:r>
              <w:rPr>
                <w:rFonts w:ascii="Calibri" w:hAnsi="Calibri"/>
                <w:color w:val="333333"/>
                <w:sz w:val="20"/>
              </w:rPr>
              <w:t>Design system — DMRC brand colours, dark mode, utilities</w:t>
            </w:r>
          </w:p>
        </w:tc>
      </w:tr>
      <w:tr>
        <w:tc>
          <w:tcPr>
            <w:tcW w:type="dxa" w:w="2880"/>
          </w:tcPr>
          <w:p>
            <w:r>
              <w:rPr>
                <w:rFonts w:ascii="Calibri" w:hAnsi="Calibri"/>
                <w:color w:val="333333"/>
                <w:sz w:val="20"/>
              </w:rPr>
              <w:t>login/page.tsx</w:t>
            </w:r>
          </w:p>
        </w:tc>
        <w:tc>
          <w:tcPr>
            <w:tcW w:type="dxa" w:w="1440"/>
          </w:tcPr>
          <w:p>
            <w:r>
              <w:rPr>
                <w:rFonts w:ascii="Calibri" w:hAnsi="Calibri"/>
                <w:color w:val="333333"/>
                <w:sz w:val="20"/>
              </w:rPr>
              <w:t>1.5 KB</w:t>
            </w:r>
          </w:p>
        </w:tc>
        <w:tc>
          <w:tcPr>
            <w:tcW w:type="dxa" w:w="5040"/>
          </w:tcPr>
          <w:p>
            <w:r>
              <w:rPr>
                <w:rFonts w:ascii="Calibri" w:hAnsi="Calibri"/>
                <w:color w:val="333333"/>
                <w:sz w:val="20"/>
              </w:rPr>
              <w:t>Login page with glassmorphism card</w:t>
            </w:r>
          </w:p>
        </w:tc>
      </w:tr>
      <w:tr>
        <w:tc>
          <w:tcPr>
            <w:tcW w:type="dxa" w:w="2880"/>
            <w:shd w:fill="F0F4FA" w:val="clear"/>
          </w:tcPr>
          <w:p>
            <w:r>
              <w:rPr>
                <w:rFonts w:ascii="Calibri" w:hAnsi="Calibri"/>
                <w:color w:val="333333"/>
                <w:sz w:val="20"/>
              </w:rPr>
              <w:t>register/page.tsx</w:t>
            </w:r>
          </w:p>
        </w:tc>
        <w:tc>
          <w:tcPr>
            <w:tcW w:type="dxa" w:w="1440"/>
            <w:shd w:fill="F0F4FA" w:val="clear"/>
          </w:tcPr>
          <w:p>
            <w:r>
              <w:rPr>
                <w:rFonts w:ascii="Calibri" w:hAnsi="Calibri"/>
                <w:color w:val="333333"/>
                <w:sz w:val="20"/>
              </w:rPr>
              <w:t>~1.5 KB</w:t>
            </w:r>
          </w:p>
        </w:tc>
        <w:tc>
          <w:tcPr>
            <w:tcW w:type="dxa" w:w="5040"/>
            <w:shd w:fill="F0F4FA" w:val="clear"/>
          </w:tcPr>
          <w:p>
            <w:r>
              <w:rPr>
                <w:rFonts w:ascii="Calibri" w:hAnsi="Calibri"/>
                <w:color w:val="333333"/>
                <w:sz w:val="20"/>
              </w:rPr>
              <w:t>Registration page</w:t>
            </w:r>
          </w:p>
        </w:tc>
      </w:tr>
      <w:tr>
        <w:tc>
          <w:tcPr>
            <w:tcW w:type="dxa" w:w="2880"/>
          </w:tcPr>
          <w:p>
            <w:r>
              <w:rPr>
                <w:rFonts w:ascii="Calibri" w:hAnsi="Calibri"/>
                <w:color w:val="333333"/>
                <w:sz w:val="20"/>
              </w:rPr>
              <w:t>dashboard/page.tsx</w:t>
            </w:r>
          </w:p>
        </w:tc>
        <w:tc>
          <w:tcPr>
            <w:tcW w:type="dxa" w:w="1440"/>
          </w:tcPr>
          <w:p>
            <w:r>
              <w:rPr>
                <w:rFonts w:ascii="Calibri" w:hAnsi="Calibri"/>
                <w:color w:val="333333"/>
                <w:sz w:val="20"/>
              </w:rPr>
              <w:t>7.2 KB</w:t>
            </w:r>
          </w:p>
        </w:tc>
        <w:tc>
          <w:tcPr>
            <w:tcW w:type="dxa" w:w="5040"/>
          </w:tcPr>
          <w:p>
            <w:r>
              <w:rPr>
                <w:rFonts w:ascii="Calibri" w:hAnsi="Calibri"/>
                <w:color w:val="333333"/>
                <w:sz w:val="20"/>
              </w:rPr>
              <w:t>Vendor dashboard — application list, create new</w:t>
            </w:r>
          </w:p>
        </w:tc>
      </w:tr>
      <w:tr>
        <w:tc>
          <w:tcPr>
            <w:tcW w:type="dxa" w:w="2880"/>
            <w:shd w:fill="F0F4FA" w:val="clear"/>
          </w:tcPr>
          <w:p>
            <w:r>
              <w:rPr>
                <w:rFonts w:ascii="Calibri" w:hAnsi="Calibri"/>
                <w:color w:val="333333"/>
                <w:sz w:val="20"/>
              </w:rPr>
              <w:t>dashboard/apply/page.tsx</w:t>
            </w:r>
          </w:p>
        </w:tc>
        <w:tc>
          <w:tcPr>
            <w:tcW w:type="dxa" w:w="1440"/>
            <w:shd w:fill="F0F4FA" w:val="clear"/>
          </w:tcPr>
          <w:p>
            <w:r>
              <w:rPr>
                <w:rFonts w:ascii="Calibri" w:hAnsi="Calibri"/>
                <w:color w:val="333333"/>
                <w:sz w:val="20"/>
              </w:rPr>
              <w:t>26.6 KB</w:t>
            </w:r>
          </w:p>
        </w:tc>
        <w:tc>
          <w:tcPr>
            <w:tcW w:type="dxa" w:w="5040"/>
            <w:shd w:fill="F0F4FA" w:val="clear"/>
          </w:tcPr>
          <w:p>
            <w:r>
              <w:rPr>
                <w:rFonts w:ascii="Calibri" w:hAnsi="Calibri"/>
                <w:color w:val="333333"/>
                <w:sz w:val="20"/>
              </w:rPr>
              <w:t>Multi-step application wizard (702 lines)</w:t>
            </w:r>
          </w:p>
        </w:tc>
      </w:tr>
      <w:tr>
        <w:tc>
          <w:tcPr>
            <w:tcW w:type="dxa" w:w="2880"/>
          </w:tcPr>
          <w:p>
            <w:r>
              <w:rPr>
                <w:rFonts w:ascii="Calibri" w:hAnsi="Calibri"/>
                <w:color w:val="333333"/>
                <w:sz w:val="20"/>
              </w:rPr>
              <w:t>ArchitectureFields.tsx</w:t>
            </w:r>
          </w:p>
        </w:tc>
        <w:tc>
          <w:tcPr>
            <w:tcW w:type="dxa" w:w="1440"/>
          </w:tcPr>
          <w:p>
            <w:r>
              <w:rPr>
                <w:rFonts w:ascii="Calibri" w:hAnsi="Calibri"/>
                <w:color w:val="333333"/>
                <w:sz w:val="20"/>
              </w:rPr>
              <w:t>66.1 KB</w:t>
            </w:r>
          </w:p>
        </w:tc>
        <w:tc>
          <w:tcPr>
            <w:tcW w:type="dxa" w:w="5040"/>
          </w:tcPr>
          <w:p>
            <w:r>
              <w:rPr>
                <w:rFonts w:ascii="Calibri" w:hAnsi="Calibri"/>
                <w:color w:val="333333"/>
                <w:sz w:val="20"/>
              </w:rPr>
              <w:t>Architecture category form</w:t>
            </w:r>
          </w:p>
        </w:tc>
      </w:tr>
      <w:tr>
        <w:tc>
          <w:tcPr>
            <w:tcW w:type="dxa" w:w="2880"/>
            <w:shd w:fill="F0F4FA" w:val="clear"/>
          </w:tcPr>
          <w:p>
            <w:r>
              <w:rPr>
                <w:rFonts w:ascii="Calibri" w:hAnsi="Calibri"/>
                <w:color w:val="333333"/>
                <w:sz w:val="20"/>
              </w:rPr>
              <w:t>CivilFields.tsx</w:t>
            </w:r>
          </w:p>
        </w:tc>
        <w:tc>
          <w:tcPr>
            <w:tcW w:type="dxa" w:w="1440"/>
            <w:shd w:fill="F0F4FA" w:val="clear"/>
          </w:tcPr>
          <w:p>
            <w:r>
              <w:rPr>
                <w:rFonts w:ascii="Calibri" w:hAnsi="Calibri"/>
                <w:color w:val="333333"/>
                <w:sz w:val="20"/>
              </w:rPr>
              <w:t>73.8 KB</w:t>
            </w:r>
          </w:p>
        </w:tc>
        <w:tc>
          <w:tcPr>
            <w:tcW w:type="dxa" w:w="5040"/>
            <w:shd w:fill="F0F4FA" w:val="clear"/>
          </w:tcPr>
          <w:p>
            <w:r>
              <w:rPr>
                <w:rFonts w:ascii="Calibri" w:hAnsi="Calibri"/>
                <w:color w:val="333333"/>
                <w:sz w:val="20"/>
              </w:rPr>
              <w:t>Civil category form</w:t>
            </w:r>
          </w:p>
        </w:tc>
      </w:tr>
      <w:tr>
        <w:tc>
          <w:tcPr>
            <w:tcW w:type="dxa" w:w="2880"/>
          </w:tcPr>
          <w:p>
            <w:r>
              <w:rPr>
                <w:rFonts w:ascii="Calibri" w:hAnsi="Calibri"/>
                <w:color w:val="333333"/>
                <w:sz w:val="20"/>
              </w:rPr>
              <w:t>ElectricalFields.tsx</w:t>
            </w:r>
          </w:p>
        </w:tc>
        <w:tc>
          <w:tcPr>
            <w:tcW w:type="dxa" w:w="1440"/>
          </w:tcPr>
          <w:p>
            <w:r>
              <w:rPr>
                <w:rFonts w:ascii="Calibri" w:hAnsi="Calibri"/>
                <w:color w:val="333333"/>
                <w:sz w:val="20"/>
              </w:rPr>
              <w:t>143.0 KB</w:t>
            </w:r>
          </w:p>
        </w:tc>
        <w:tc>
          <w:tcPr>
            <w:tcW w:type="dxa" w:w="5040"/>
          </w:tcPr>
          <w:p>
            <w:r>
              <w:rPr>
                <w:rFonts w:ascii="Calibri" w:hAnsi="Calibri"/>
                <w:color w:val="333333"/>
                <w:sz w:val="20"/>
              </w:rPr>
              <w:t>Electrical category form (largest component)</w:t>
            </w:r>
          </w:p>
        </w:tc>
      </w:tr>
      <w:tr>
        <w:tc>
          <w:tcPr>
            <w:tcW w:type="dxa" w:w="2880"/>
            <w:shd w:fill="F0F4FA" w:val="clear"/>
          </w:tcPr>
          <w:p>
            <w:r>
              <w:rPr>
                <w:rFonts w:ascii="Calibri" w:hAnsi="Calibri"/>
                <w:color w:val="333333"/>
                <w:sz w:val="20"/>
              </w:rPr>
              <w:t>FormReview.tsx</w:t>
            </w:r>
          </w:p>
        </w:tc>
        <w:tc>
          <w:tcPr>
            <w:tcW w:type="dxa" w:w="1440"/>
            <w:shd w:fill="F0F4FA" w:val="clear"/>
          </w:tcPr>
          <w:p>
            <w:r>
              <w:rPr>
                <w:rFonts w:ascii="Calibri" w:hAnsi="Calibri"/>
                <w:color w:val="333333"/>
                <w:sz w:val="20"/>
              </w:rPr>
              <w:t>27.2 KB</w:t>
            </w:r>
          </w:p>
        </w:tc>
        <w:tc>
          <w:tcPr>
            <w:tcW w:type="dxa" w:w="5040"/>
            <w:shd w:fill="F0F4FA" w:val="clear"/>
          </w:tcPr>
          <w:p>
            <w:r>
              <w:rPr>
                <w:rFonts w:ascii="Calibri" w:hAnsi="Calibri"/>
                <w:color w:val="333333"/>
                <w:sz w:val="20"/>
              </w:rPr>
              <w:t>Review &amp; summary for all 3 categories</w:t>
            </w:r>
          </w:p>
        </w:tc>
      </w:tr>
      <w:tr>
        <w:tc>
          <w:tcPr>
            <w:tcW w:type="dxa" w:w="2880"/>
          </w:tcPr>
          <w:p>
            <w:r>
              <w:rPr>
                <w:rFonts w:ascii="Calibri" w:hAnsi="Calibri"/>
                <w:color w:val="333333"/>
                <w:sz w:val="20"/>
              </w:rPr>
              <w:t>materials.ts</w:t>
            </w:r>
          </w:p>
        </w:tc>
        <w:tc>
          <w:tcPr>
            <w:tcW w:type="dxa" w:w="1440"/>
          </w:tcPr>
          <w:p>
            <w:r>
              <w:rPr>
                <w:rFonts w:ascii="Calibri" w:hAnsi="Calibri"/>
                <w:color w:val="333333"/>
                <w:sz w:val="20"/>
              </w:rPr>
              <w:t>28.2 KB</w:t>
            </w:r>
          </w:p>
        </w:tc>
        <w:tc>
          <w:tcPr>
            <w:tcW w:type="dxa" w:w="5040"/>
          </w:tcPr>
          <w:p>
            <w:r>
              <w:rPr>
                <w:rFonts w:ascii="Calibri" w:hAnsi="Calibri"/>
                <w:color w:val="333333"/>
                <w:sz w:val="20"/>
              </w:rPr>
              <w:t>Material catalogue (397 materials, 3 categories)</w:t>
            </w:r>
          </w:p>
        </w:tc>
      </w:tr>
      <w:tr>
        <w:tc>
          <w:tcPr>
            <w:tcW w:type="dxa" w:w="2880"/>
            <w:shd w:fill="F0F4FA" w:val="clear"/>
          </w:tcPr>
          <w:p>
            <w:r>
              <w:rPr>
                <w:rFonts w:ascii="Calibri" w:hAnsi="Calibri"/>
                <w:color w:val="333333"/>
                <w:sz w:val="20"/>
              </w:rPr>
              <w:t>application.ts</w:t>
            </w:r>
          </w:p>
        </w:tc>
        <w:tc>
          <w:tcPr>
            <w:tcW w:type="dxa" w:w="1440"/>
            <w:shd w:fill="F0F4FA" w:val="clear"/>
          </w:tcPr>
          <w:p>
            <w:r>
              <w:rPr>
                <w:rFonts w:ascii="Calibri" w:hAnsi="Calibri"/>
                <w:color w:val="333333"/>
                <w:sz w:val="20"/>
              </w:rPr>
              <w:t>36.0 KB</w:t>
            </w:r>
          </w:p>
        </w:tc>
        <w:tc>
          <w:tcPr>
            <w:tcW w:type="dxa" w:w="5040"/>
            <w:shd w:fill="F0F4FA" w:val="clear"/>
          </w:tcPr>
          <w:p>
            <w:r>
              <w:rPr>
                <w:rFonts w:ascii="Calibri" w:hAnsi="Calibri"/>
                <w:color w:val="333333"/>
                <w:sz w:val="20"/>
              </w:rPr>
              <w:t>Zod validation schemas (794 lines)</w:t>
            </w:r>
          </w:p>
        </w:tc>
      </w:tr>
      <w:tr>
        <w:tc>
          <w:tcPr>
            <w:tcW w:type="dxa" w:w="2880"/>
          </w:tcPr>
          <w:p>
            <w:r>
              <w:rPr>
                <w:rFonts w:ascii="Calibri" w:hAnsi="Calibri"/>
                <w:color w:val="333333"/>
                <w:sz w:val="20"/>
              </w:rPr>
              <w:t>auth.ts</w:t>
            </w:r>
          </w:p>
        </w:tc>
        <w:tc>
          <w:tcPr>
            <w:tcW w:type="dxa" w:w="1440"/>
          </w:tcPr>
          <w:p>
            <w:r>
              <w:rPr>
                <w:rFonts w:ascii="Calibri" w:hAnsi="Calibri"/>
                <w:color w:val="333333"/>
                <w:sz w:val="20"/>
              </w:rPr>
              <w:t>2.2 KB</w:t>
            </w:r>
          </w:p>
        </w:tc>
        <w:tc>
          <w:tcPr>
            <w:tcW w:type="dxa" w:w="5040"/>
          </w:tcPr>
          <w:p>
            <w:r>
              <w:rPr>
                <w:rFonts w:ascii="Calibri" w:hAnsi="Calibri"/>
                <w:color w:val="333333"/>
                <w:sz w:val="20"/>
              </w:rPr>
              <w:t>NextAuth configuration</w:t>
            </w:r>
          </w:p>
        </w:tc>
      </w:tr>
      <w:tr>
        <w:tc>
          <w:tcPr>
            <w:tcW w:type="dxa" w:w="2880"/>
            <w:shd w:fill="F0F4FA" w:val="clear"/>
          </w:tcPr>
          <w:p>
            <w:r>
              <w:rPr>
                <w:rFonts w:ascii="Calibri" w:hAnsi="Calibri"/>
                <w:color w:val="333333"/>
                <w:sz w:val="20"/>
              </w:rPr>
              <w:t>db.ts</w:t>
            </w:r>
          </w:p>
        </w:tc>
        <w:tc>
          <w:tcPr>
            <w:tcW w:type="dxa" w:w="1440"/>
            <w:shd w:fill="F0F4FA" w:val="clear"/>
          </w:tcPr>
          <w:p>
            <w:r>
              <w:rPr>
                <w:rFonts w:ascii="Calibri" w:hAnsi="Calibri"/>
                <w:color w:val="333333"/>
                <w:sz w:val="20"/>
              </w:rPr>
              <w:t>0.5 KB</w:t>
            </w:r>
          </w:p>
        </w:tc>
        <w:tc>
          <w:tcPr>
            <w:tcW w:type="dxa" w:w="5040"/>
            <w:shd w:fill="F0F4FA" w:val="clear"/>
          </w:tcPr>
          <w:p>
            <w:r>
              <w:rPr>
                <w:rFonts w:ascii="Calibri" w:hAnsi="Calibri"/>
                <w:color w:val="333333"/>
                <w:sz w:val="20"/>
              </w:rPr>
              <w:t>Prisma client singleton</w:t>
            </w:r>
          </w:p>
        </w:tc>
      </w:tr>
      <w:tr>
        <w:tc>
          <w:tcPr>
            <w:tcW w:type="dxa" w:w="2880"/>
          </w:tcPr>
          <w:p>
            <w:r>
              <w:rPr>
                <w:rFonts w:ascii="Calibri" w:hAnsi="Calibri"/>
                <w:color w:val="333333"/>
                <w:sz w:val="20"/>
              </w:rPr>
              <w:t>schema.prisma</w:t>
            </w:r>
          </w:p>
        </w:tc>
        <w:tc>
          <w:tcPr>
            <w:tcW w:type="dxa" w:w="1440"/>
          </w:tcPr>
          <w:p>
            <w:r>
              <w:rPr>
                <w:rFonts w:ascii="Calibri" w:hAnsi="Calibri"/>
                <w:color w:val="333333"/>
                <w:sz w:val="20"/>
              </w:rPr>
              <w:t>1.8 KB</w:t>
            </w:r>
          </w:p>
        </w:tc>
        <w:tc>
          <w:tcPr>
            <w:tcW w:type="dxa" w:w="5040"/>
          </w:tcPr>
          <w:p>
            <w:r>
              <w:rPr>
                <w:rFonts w:ascii="Calibri" w:hAnsi="Calibri"/>
                <w:color w:val="333333"/>
                <w:sz w:val="20"/>
              </w:rPr>
              <w:t>Database schema (3 tables, 3 enums, 6 indexes)</w:t>
            </w:r>
          </w:p>
        </w:tc>
      </w:tr>
      <w:tr>
        <w:tc>
          <w:tcPr>
            <w:tcW w:type="dxa" w:w="2880"/>
            <w:shd w:fill="F0F4FA" w:val="clear"/>
          </w:tcPr>
          <w:p>
            <w:r>
              <w:rPr>
                <w:rFonts w:ascii="Calibri" w:hAnsi="Calibri"/>
                <w:color w:val="333333"/>
                <w:sz w:val="20"/>
              </w:rPr>
              <w:t>middleware.ts</w:t>
            </w:r>
          </w:p>
        </w:tc>
        <w:tc>
          <w:tcPr>
            <w:tcW w:type="dxa" w:w="1440"/>
            <w:shd w:fill="F0F4FA" w:val="clear"/>
          </w:tcPr>
          <w:p>
            <w:r>
              <w:rPr>
                <w:rFonts w:ascii="Calibri" w:hAnsi="Calibri"/>
                <w:color w:val="333333"/>
                <w:sz w:val="20"/>
              </w:rPr>
              <w:t>0.3 KB</w:t>
            </w:r>
          </w:p>
        </w:tc>
        <w:tc>
          <w:tcPr>
            <w:tcW w:type="dxa" w:w="5040"/>
            <w:shd w:fill="F0F4FA" w:val="clear"/>
          </w:tcPr>
          <w:p>
            <w:r>
              <w:rPr>
                <w:rFonts w:ascii="Calibri" w:hAnsi="Calibri"/>
                <w:color w:val="333333"/>
                <w:sz w:val="20"/>
              </w:rPr>
              <w:t>Route protection middleware</w:t>
            </w:r>
          </w:p>
        </w:tc>
      </w:tr>
    </w:tbl>
    <w:p/>
    <w:p>
      <w:pPr>
        <w:pStyle w:val="Heading2"/>
      </w:pPr>
      <w:r>
        <w:t>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003F87" w:val="clear"/>
          </w:tcPr>
          <w:p>
            <w:pPr>
              <w:jc w:val="left"/>
            </w:pPr>
            <w:r>
              <w:rPr>
                <w:rFonts w:ascii="Calibri" w:hAnsi="Calibri"/>
                <w:b/>
                <w:color w:val="FFFFFF"/>
                <w:sz w:val="20"/>
              </w:rPr>
              <w:t>Method</w:t>
            </w:r>
          </w:p>
        </w:tc>
        <w:tc>
          <w:tcPr>
            <w:tcW w:type="dxa" w:w="3600"/>
            <w:shd w:fill="003F87" w:val="clear"/>
          </w:tcPr>
          <w:p>
            <w:pPr>
              <w:jc w:val="left"/>
            </w:pPr>
            <w:r>
              <w:rPr>
                <w:rFonts w:ascii="Calibri" w:hAnsi="Calibri"/>
                <w:b/>
                <w:color w:val="FFFFFF"/>
                <w:sz w:val="20"/>
              </w:rPr>
              <w:t>Route</w:t>
            </w:r>
          </w:p>
        </w:tc>
        <w:tc>
          <w:tcPr>
            <w:tcW w:type="dxa" w:w="4320"/>
            <w:shd w:fill="003F87" w:val="clear"/>
          </w:tcPr>
          <w:p>
            <w:pPr>
              <w:jc w:val="left"/>
            </w:pPr>
            <w:r>
              <w:rPr>
                <w:rFonts w:ascii="Calibri" w:hAnsi="Calibri"/>
                <w:b/>
                <w:color w:val="FFFFFF"/>
                <w:sz w:val="20"/>
              </w:rPr>
              <w:t>Purpose</w:t>
            </w:r>
          </w:p>
        </w:tc>
      </w:tr>
      <w:tr>
        <w:tc>
          <w:tcPr>
            <w:tcW w:type="dxa" w:w="1440"/>
          </w:tcPr>
          <w:p>
            <w:r>
              <w:rPr>
                <w:rFonts w:ascii="Calibri" w:hAnsi="Calibri"/>
                <w:color w:val="333333"/>
                <w:sz w:val="20"/>
              </w:rPr>
              <w:t>POST</w:t>
            </w:r>
          </w:p>
        </w:tc>
        <w:tc>
          <w:tcPr>
            <w:tcW w:type="dxa" w:w="3600"/>
          </w:tcPr>
          <w:p>
            <w:r>
              <w:rPr>
                <w:rFonts w:ascii="Calibri" w:hAnsi="Calibri"/>
                <w:color w:val="333333"/>
                <w:sz w:val="20"/>
              </w:rPr>
              <w:t>/api/register</w:t>
            </w:r>
          </w:p>
        </w:tc>
        <w:tc>
          <w:tcPr>
            <w:tcW w:type="dxa" w:w="4320"/>
          </w:tcPr>
          <w:p>
            <w:r>
              <w:rPr>
                <w:rFonts w:ascii="Calibri" w:hAnsi="Calibri"/>
                <w:color w:val="333333"/>
                <w:sz w:val="20"/>
              </w:rPr>
              <w:t>Create new vendor account (PAN + password)</w:t>
            </w:r>
          </w:p>
        </w:tc>
      </w:tr>
      <w:tr>
        <w:tc>
          <w:tcPr>
            <w:tcW w:type="dxa" w:w="1440"/>
            <w:shd w:fill="F0F4FA" w:val="clear"/>
          </w:tcPr>
          <w:p>
            <w:r>
              <w:rPr>
                <w:rFonts w:ascii="Calibri" w:hAnsi="Calibri"/>
                <w:color w:val="333333"/>
                <w:sz w:val="20"/>
              </w:rPr>
              <w:t>POST/GET</w:t>
            </w:r>
          </w:p>
        </w:tc>
        <w:tc>
          <w:tcPr>
            <w:tcW w:type="dxa" w:w="3600"/>
            <w:shd w:fill="F0F4FA" w:val="clear"/>
          </w:tcPr>
          <w:p>
            <w:r>
              <w:rPr>
                <w:rFonts w:ascii="Calibri" w:hAnsi="Calibri"/>
                <w:color w:val="333333"/>
                <w:sz w:val="20"/>
              </w:rPr>
              <w:t>/api/auth/[...nextauth]</w:t>
            </w:r>
          </w:p>
        </w:tc>
        <w:tc>
          <w:tcPr>
            <w:tcW w:type="dxa" w:w="4320"/>
            <w:shd w:fill="F0F4FA" w:val="clear"/>
          </w:tcPr>
          <w:p>
            <w:r>
              <w:rPr>
                <w:rFonts w:ascii="Calibri" w:hAnsi="Calibri"/>
                <w:color w:val="333333"/>
                <w:sz w:val="20"/>
              </w:rPr>
              <w:t>NextAuth login/logout/session endpoints</w:t>
            </w:r>
          </w:p>
        </w:tc>
      </w:tr>
      <w:tr>
        <w:tc>
          <w:tcPr>
            <w:tcW w:type="dxa" w:w="1440"/>
          </w:tcPr>
          <w:p>
            <w:r>
              <w:rPr>
                <w:rFonts w:ascii="Calibri" w:hAnsi="Calibri"/>
                <w:color w:val="333333"/>
                <w:sz w:val="20"/>
              </w:rPr>
              <w:t>GET</w:t>
            </w:r>
          </w:p>
        </w:tc>
        <w:tc>
          <w:tcPr>
            <w:tcW w:type="dxa" w:w="3600"/>
          </w:tcPr>
          <w:p>
            <w:r>
              <w:rPr>
                <w:rFonts w:ascii="Calibri" w:hAnsi="Calibri"/>
                <w:color w:val="333333"/>
                <w:sz w:val="20"/>
              </w:rPr>
              <w:t>/api/applications</w:t>
            </w:r>
          </w:p>
        </w:tc>
        <w:tc>
          <w:tcPr>
            <w:tcW w:type="dxa" w:w="4320"/>
          </w:tcPr>
          <w:p>
            <w:r>
              <w:rPr>
                <w:rFonts w:ascii="Calibri" w:hAnsi="Calibri"/>
                <w:color w:val="333333"/>
                <w:sz w:val="20"/>
              </w:rPr>
              <w:t>List all applications for logged-in vendor</w:t>
            </w:r>
          </w:p>
        </w:tc>
      </w:tr>
      <w:tr>
        <w:tc>
          <w:tcPr>
            <w:tcW w:type="dxa" w:w="1440"/>
            <w:shd w:fill="F0F4FA" w:val="clear"/>
          </w:tcPr>
          <w:p>
            <w:r>
              <w:rPr>
                <w:rFonts w:ascii="Calibri" w:hAnsi="Calibri"/>
                <w:color w:val="333333"/>
                <w:sz w:val="20"/>
              </w:rPr>
              <w:t>POST</w:t>
            </w:r>
          </w:p>
        </w:tc>
        <w:tc>
          <w:tcPr>
            <w:tcW w:type="dxa" w:w="3600"/>
            <w:shd w:fill="F0F4FA" w:val="clear"/>
          </w:tcPr>
          <w:p>
            <w:r>
              <w:rPr>
                <w:rFonts w:ascii="Calibri" w:hAnsi="Calibri"/>
                <w:color w:val="333333"/>
                <w:sz w:val="20"/>
              </w:rPr>
              <w:t>/api/applications</w:t>
            </w:r>
          </w:p>
        </w:tc>
        <w:tc>
          <w:tcPr>
            <w:tcW w:type="dxa" w:w="4320"/>
            <w:shd w:fill="F0F4FA" w:val="clear"/>
          </w:tcPr>
          <w:p>
            <w:r>
              <w:rPr>
                <w:rFonts w:ascii="Calibri" w:hAnsi="Calibri"/>
                <w:color w:val="333333"/>
                <w:sz w:val="20"/>
              </w:rPr>
              <w:t>Create new draft application</w:t>
            </w:r>
          </w:p>
        </w:tc>
      </w:tr>
      <w:tr>
        <w:tc>
          <w:tcPr>
            <w:tcW w:type="dxa" w:w="1440"/>
          </w:tcPr>
          <w:p>
            <w:r>
              <w:rPr>
                <w:rFonts w:ascii="Calibri" w:hAnsi="Calibri"/>
                <w:color w:val="333333"/>
                <w:sz w:val="20"/>
              </w:rPr>
              <w:t>GET</w:t>
            </w:r>
          </w:p>
        </w:tc>
        <w:tc>
          <w:tcPr>
            <w:tcW w:type="dxa" w:w="3600"/>
          </w:tcPr>
          <w:p>
            <w:r>
              <w:rPr>
                <w:rFonts w:ascii="Calibri" w:hAnsi="Calibri"/>
                <w:color w:val="333333"/>
                <w:sz w:val="20"/>
              </w:rPr>
              <w:t>/api/applications/[id]</w:t>
            </w:r>
          </w:p>
        </w:tc>
        <w:tc>
          <w:tcPr>
            <w:tcW w:type="dxa" w:w="4320"/>
          </w:tcPr>
          <w:p>
            <w:r>
              <w:rPr>
                <w:rFonts w:ascii="Calibri" w:hAnsi="Calibri"/>
                <w:color w:val="333333"/>
                <w:sz w:val="20"/>
              </w:rPr>
              <w:t>Fetch single application by ID</w:t>
            </w:r>
          </w:p>
        </w:tc>
      </w:tr>
      <w:tr>
        <w:tc>
          <w:tcPr>
            <w:tcW w:type="dxa" w:w="1440"/>
            <w:shd w:fill="F0F4FA" w:val="clear"/>
          </w:tcPr>
          <w:p>
            <w:r>
              <w:rPr>
                <w:rFonts w:ascii="Calibri" w:hAnsi="Calibri"/>
                <w:color w:val="333333"/>
                <w:sz w:val="20"/>
              </w:rPr>
              <w:t>PUT</w:t>
            </w:r>
          </w:p>
        </w:tc>
        <w:tc>
          <w:tcPr>
            <w:tcW w:type="dxa" w:w="3600"/>
            <w:shd w:fill="F0F4FA" w:val="clear"/>
          </w:tcPr>
          <w:p>
            <w:r>
              <w:rPr>
                <w:rFonts w:ascii="Calibri" w:hAnsi="Calibri"/>
                <w:color w:val="333333"/>
                <w:sz w:val="20"/>
              </w:rPr>
              <w:t>/api/applications/[id]</w:t>
            </w:r>
          </w:p>
        </w:tc>
        <w:tc>
          <w:tcPr>
            <w:tcW w:type="dxa" w:w="4320"/>
            <w:shd w:fill="F0F4FA" w:val="clear"/>
          </w:tcPr>
          <w:p>
            <w:r>
              <w:rPr>
                <w:rFonts w:ascii="Calibri" w:hAnsi="Calibri"/>
                <w:color w:val="333333"/>
                <w:sz w:val="20"/>
              </w:rPr>
              <w:t>Update draft or submit application</w:t>
            </w:r>
          </w:p>
        </w:tc>
      </w:tr>
      <w:tr>
        <w:tc>
          <w:tcPr>
            <w:tcW w:type="dxa" w:w="1440"/>
          </w:tcPr>
          <w:p>
            <w:r>
              <w:rPr>
                <w:rFonts w:ascii="Calibri" w:hAnsi="Calibri"/>
                <w:color w:val="333333"/>
                <w:sz w:val="20"/>
              </w:rPr>
              <w:t>DELETE</w:t>
            </w:r>
          </w:p>
        </w:tc>
        <w:tc>
          <w:tcPr>
            <w:tcW w:type="dxa" w:w="3600"/>
          </w:tcPr>
          <w:p>
            <w:r>
              <w:rPr>
                <w:rFonts w:ascii="Calibri" w:hAnsi="Calibri"/>
                <w:color w:val="333333"/>
                <w:sz w:val="20"/>
              </w:rPr>
              <w:t>/api/applications/[id]</w:t>
            </w:r>
          </w:p>
        </w:tc>
        <w:tc>
          <w:tcPr>
            <w:tcW w:type="dxa" w:w="4320"/>
          </w:tcPr>
          <w:p>
            <w:r>
              <w:rPr>
                <w:rFonts w:ascii="Calibri" w:hAnsi="Calibri"/>
                <w:color w:val="333333"/>
                <w:sz w:val="20"/>
              </w:rPr>
              <w:t>Delete draft application</w:t>
            </w:r>
          </w:p>
        </w:tc>
      </w:tr>
      <w:tr>
        <w:tc>
          <w:tcPr>
            <w:tcW w:type="dxa" w:w="1440"/>
            <w:shd w:fill="F0F4FA" w:val="clear"/>
          </w:tcPr>
          <w:p>
            <w:r>
              <w:rPr>
                <w:rFonts w:ascii="Calibri" w:hAnsi="Calibri"/>
                <w:color w:val="333333"/>
                <w:sz w:val="20"/>
              </w:rPr>
              <w:t>POST</w:t>
            </w:r>
          </w:p>
        </w:tc>
        <w:tc>
          <w:tcPr>
            <w:tcW w:type="dxa" w:w="3600"/>
            <w:shd w:fill="F0F4FA" w:val="clear"/>
          </w:tcPr>
          <w:p>
            <w:r>
              <w:rPr>
                <w:rFonts w:ascii="Calibri" w:hAnsi="Calibri"/>
                <w:color w:val="333333"/>
                <w:sz w:val="20"/>
              </w:rPr>
              <w:t>/api/applications/[id]/documents</w:t>
            </w:r>
          </w:p>
        </w:tc>
        <w:tc>
          <w:tcPr>
            <w:tcW w:type="dxa" w:w="4320"/>
            <w:shd w:fill="F0F4FA" w:val="clear"/>
          </w:tcPr>
          <w:p>
            <w:r>
              <w:rPr>
                <w:rFonts w:ascii="Calibri" w:hAnsi="Calibri"/>
                <w:color w:val="333333"/>
                <w:sz w:val="20"/>
              </w:rPr>
              <w:t>Upload supporting document</w:t>
            </w:r>
          </w:p>
        </w:tc>
      </w:tr>
    </w:tbl>
    <w:p/>
    <w:p>
      <w:pPr>
        <w:pStyle w:val="Heading2"/>
      </w:pPr>
      <w:r>
        <w:t>UI Component Library (Shadcn/Radix)</w:t>
      </w:r>
    </w:p>
    <w:p>
      <w:pPr>
        <w:spacing w:after="160"/>
      </w:pPr>
      <w:r>
        <w:rPr>
          <w:rFonts w:ascii="Calibri" w:hAnsi="Calibri"/>
          <w:sz w:val="22"/>
        </w:rPr>
        <w:t>18 custom UI components: Avatar, Badge, Button, Card, Checkbox, Dialog, Dropdown Menu, Form, Input, Label, Progress, Select, Separator, Sheet, Skeleton, Sonner (Toast), Tabs, Textarea.</w:t>
      </w:r>
    </w:p>
    <w:p>
      <w:r>
        <w:br w:type="page"/>
      </w:r>
    </w:p>
    <w:p>
      <w:pPr>
        <w:pStyle w:val="Heading1"/>
      </w:pPr>
      <w:r>
        <w:t>Appendix B: Database Schema (SQL)</w:t>
      </w:r>
    </w:p>
    <w:p>
      <w:pPr>
        <w:spacing w:after="160"/>
      </w:pPr>
      <w:r>
        <w:rPr>
          <w:rFonts w:ascii="Calibri" w:hAnsi="Calibri"/>
          <w:sz w:val="22"/>
        </w:rPr>
        <w:t>The complete SQL schema as generated by Prisma migration (20260606055701_init):</w:t>
      </w:r>
    </w:p>
    <w:p>
      <w:pPr>
        <w:spacing w:after="0" w:before="0" w:line="240" w:lineRule="auto"/>
      </w:pPr>
      <w:r>
        <w:rPr>
          <w:rFonts w:ascii="Consolas" w:hAnsi="Consolas"/>
          <w:color w:val="2D2D2D"/>
          <w:sz w:val="18"/>
        </w:rPr>
        <w:t>-- 3 Custom Enums</w:t>
      </w:r>
    </w:p>
    <w:p>
      <w:pPr>
        <w:spacing w:after="0" w:before="0" w:line="240" w:lineRule="auto"/>
      </w:pPr>
      <w:r>
        <w:rPr>
          <w:rFonts w:ascii="Consolas" w:hAnsi="Consolas"/>
          <w:color w:val="2D2D2D"/>
          <w:sz w:val="18"/>
        </w:rPr>
        <w:t>CREATE TYPE "UserRole"          AS ENUM ('VENDOR', 'ADMIN');</w:t>
      </w:r>
    </w:p>
    <w:p>
      <w:pPr>
        <w:spacing w:after="0" w:before="0" w:line="240" w:lineRule="auto"/>
      </w:pPr>
      <w:r>
        <w:rPr>
          <w:rFonts w:ascii="Consolas" w:hAnsi="Consolas"/>
          <w:color w:val="2D2D2D"/>
          <w:sz w:val="18"/>
        </w:rPr>
        <w:t>CREATE TYPE "VendorCategory"    AS ENUM ('CIVIL', 'ELECTRICAL', 'ARCHITECTURE');</w:t>
      </w:r>
    </w:p>
    <w:p>
      <w:pPr>
        <w:spacing w:after="0" w:before="0" w:line="240" w:lineRule="auto"/>
      </w:pPr>
      <w:r>
        <w:rPr>
          <w:rFonts w:ascii="Consolas" w:hAnsi="Consolas"/>
          <w:color w:val="2D2D2D"/>
          <w:sz w:val="18"/>
        </w:rPr>
        <w:t>CREATE TYPE "ApplicationStatus" AS ENUM ('DRAFT', 'SUBMITTED', 'UNDER_REVIEW',</w:t>
      </w:r>
    </w:p>
    <w:p>
      <w:pPr>
        <w:spacing w:after="0" w:before="0" w:line="240" w:lineRule="auto"/>
      </w:pPr>
      <w:r>
        <w:rPr>
          <w:rFonts w:ascii="Consolas" w:hAnsi="Consolas"/>
          <w:color w:val="2D2D2D"/>
          <w:sz w:val="18"/>
        </w:rPr>
        <w:t xml:space="preserve">                                         'APPROVED', 'REJECTED');</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Table 1: Users (Vendor Accounts)</w:t>
      </w:r>
    </w:p>
    <w:p>
      <w:pPr>
        <w:spacing w:after="0" w:before="0" w:line="240" w:lineRule="auto"/>
      </w:pPr>
      <w:r>
        <w:rPr>
          <w:rFonts w:ascii="Consolas" w:hAnsi="Consolas"/>
          <w:color w:val="2D2D2D"/>
          <w:sz w:val="18"/>
        </w:rPr>
        <w:t>CREATE TABLE "User" (</w:t>
      </w:r>
    </w:p>
    <w:p>
      <w:pPr>
        <w:spacing w:after="0" w:before="0" w:line="240" w:lineRule="auto"/>
      </w:pPr>
      <w:r>
        <w:rPr>
          <w:rFonts w:ascii="Consolas" w:hAnsi="Consolas"/>
          <w:color w:val="2D2D2D"/>
          <w:sz w:val="18"/>
        </w:rPr>
        <w:t xml:space="preserve">    "id"        TEXT PRIMARY KEY DEFAULT cuid(),</w:t>
      </w:r>
    </w:p>
    <w:p>
      <w:pPr>
        <w:spacing w:after="0" w:before="0" w:line="240" w:lineRule="auto"/>
      </w:pPr>
      <w:r>
        <w:rPr>
          <w:rFonts w:ascii="Consolas" w:hAnsi="Consolas"/>
          <w:color w:val="2D2D2D"/>
          <w:sz w:val="18"/>
        </w:rPr>
        <w:t xml:space="preserve">    "panCard"   TEXT NOT NULL UNIQUE,</w:t>
      </w:r>
    </w:p>
    <w:p>
      <w:pPr>
        <w:spacing w:after="0" w:before="0" w:line="240" w:lineRule="auto"/>
      </w:pPr>
      <w:r>
        <w:rPr>
          <w:rFonts w:ascii="Consolas" w:hAnsi="Consolas"/>
          <w:color w:val="2D2D2D"/>
          <w:sz w:val="18"/>
        </w:rPr>
        <w:t xml:space="preserve">    "password"  TEXT NOT NULL,</w:t>
      </w:r>
    </w:p>
    <w:p>
      <w:pPr>
        <w:spacing w:after="0" w:before="0" w:line="240" w:lineRule="auto"/>
      </w:pPr>
      <w:r>
        <w:rPr>
          <w:rFonts w:ascii="Consolas" w:hAnsi="Consolas"/>
          <w:color w:val="2D2D2D"/>
          <w:sz w:val="18"/>
        </w:rPr>
        <w:t xml:space="preserve">    "role"      "UserRole" DEFAULT 'VENDOR',</w:t>
      </w:r>
    </w:p>
    <w:p>
      <w:pPr>
        <w:spacing w:after="0" w:before="0" w:line="240" w:lineRule="auto"/>
      </w:pPr>
      <w:r>
        <w:rPr>
          <w:rFonts w:ascii="Consolas" w:hAnsi="Consolas"/>
          <w:color w:val="2D2D2D"/>
          <w:sz w:val="18"/>
        </w:rPr>
        <w:t xml:space="preserve">    "createdAt" TIMESTAMP DEFAULT NOW(),</w:t>
      </w:r>
    </w:p>
    <w:p>
      <w:pPr>
        <w:spacing w:after="0" w:before="0" w:line="240" w:lineRule="auto"/>
      </w:pPr>
      <w:r>
        <w:rPr>
          <w:rFonts w:ascii="Consolas" w:hAnsi="Consolas"/>
          <w:color w:val="2D2D2D"/>
          <w:sz w:val="18"/>
        </w:rPr>
        <w:t xml:space="preserve">    "updatedAt" TIMESTAMP</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Table 2: Vendor Applications</w:t>
      </w:r>
    </w:p>
    <w:p>
      <w:pPr>
        <w:spacing w:after="0" w:before="0" w:line="240" w:lineRule="auto"/>
      </w:pPr>
      <w:r>
        <w:rPr>
          <w:rFonts w:ascii="Consolas" w:hAnsi="Consolas"/>
          <w:color w:val="2D2D2D"/>
          <w:sz w:val="18"/>
        </w:rPr>
        <w:t>CREATE TABLE "VendorApplication" (</w:t>
      </w:r>
    </w:p>
    <w:p>
      <w:pPr>
        <w:spacing w:after="0" w:before="0" w:line="240" w:lineRule="auto"/>
      </w:pPr>
      <w:r>
        <w:rPr>
          <w:rFonts w:ascii="Consolas" w:hAnsi="Consolas"/>
          <w:color w:val="2D2D2D"/>
          <w:sz w:val="18"/>
        </w:rPr>
        <w:t xml:space="preserve">    "id"          TEXT PRIMARY KEY DEFAULT cuid(),</w:t>
      </w:r>
    </w:p>
    <w:p>
      <w:pPr>
        <w:spacing w:after="0" w:before="0" w:line="240" w:lineRule="auto"/>
      </w:pPr>
      <w:r>
        <w:rPr>
          <w:rFonts w:ascii="Consolas" w:hAnsi="Consolas"/>
          <w:color w:val="2D2D2D"/>
          <w:sz w:val="18"/>
        </w:rPr>
        <w:t xml:space="preserve">    "userId"      TEXT NOT NULL REFERENCES "User"("id") ON DELETE CASCADE,</w:t>
      </w:r>
    </w:p>
    <w:p>
      <w:pPr>
        <w:spacing w:after="0" w:before="0" w:line="240" w:lineRule="auto"/>
      </w:pPr>
      <w:r>
        <w:rPr>
          <w:rFonts w:ascii="Consolas" w:hAnsi="Consolas"/>
          <w:color w:val="2D2D2D"/>
          <w:sz w:val="18"/>
        </w:rPr>
        <w:t xml:space="preserve">    "category"    "VendorCategory" NOT NULL,</w:t>
      </w:r>
    </w:p>
    <w:p>
      <w:pPr>
        <w:spacing w:after="0" w:before="0" w:line="240" w:lineRule="auto"/>
      </w:pPr>
      <w:r>
        <w:rPr>
          <w:rFonts w:ascii="Consolas" w:hAnsi="Consolas"/>
          <w:color w:val="2D2D2D"/>
          <w:sz w:val="18"/>
        </w:rPr>
        <w:t xml:space="preserve">    "status"      "ApplicationStatus" DEFAULT 'DRAFT',</w:t>
      </w:r>
    </w:p>
    <w:p>
      <w:pPr>
        <w:spacing w:after="0" w:before="0" w:line="240" w:lineRule="auto"/>
      </w:pPr>
      <w:r>
        <w:rPr>
          <w:rFonts w:ascii="Consolas" w:hAnsi="Consolas"/>
          <w:color w:val="2D2D2D"/>
          <w:sz w:val="18"/>
        </w:rPr>
        <w:t xml:space="preserve">    "companyName" TEXT,</w:t>
      </w:r>
    </w:p>
    <w:p>
      <w:pPr>
        <w:spacing w:after="0" w:before="0" w:line="240" w:lineRule="auto"/>
      </w:pPr>
      <w:r>
        <w:rPr>
          <w:rFonts w:ascii="Consolas" w:hAnsi="Consolas"/>
          <w:color w:val="2D2D2D"/>
          <w:sz w:val="18"/>
        </w:rPr>
        <w:t xml:space="preserve">    "formData"    JSONB,</w:t>
      </w:r>
    </w:p>
    <w:p>
      <w:pPr>
        <w:spacing w:after="0" w:before="0" w:line="240" w:lineRule="auto"/>
      </w:pPr>
      <w:r>
        <w:rPr>
          <w:rFonts w:ascii="Consolas" w:hAnsi="Consolas"/>
          <w:color w:val="2D2D2D"/>
          <w:sz w:val="18"/>
        </w:rPr>
        <w:t xml:space="preserve">    "remarks"     TEXT,</w:t>
      </w:r>
    </w:p>
    <w:p>
      <w:pPr>
        <w:spacing w:after="0" w:before="0" w:line="240" w:lineRule="auto"/>
      </w:pPr>
      <w:r>
        <w:rPr>
          <w:rFonts w:ascii="Consolas" w:hAnsi="Consolas"/>
          <w:color w:val="2D2D2D"/>
          <w:sz w:val="18"/>
        </w:rPr>
        <w:t xml:space="preserve">    "submittedAt" TIMESTAMP,</w:t>
      </w:r>
    </w:p>
    <w:p>
      <w:pPr>
        <w:spacing w:after="0" w:before="0" w:line="240" w:lineRule="auto"/>
      </w:pPr>
      <w:r>
        <w:rPr>
          <w:rFonts w:ascii="Consolas" w:hAnsi="Consolas"/>
          <w:color w:val="2D2D2D"/>
          <w:sz w:val="18"/>
        </w:rPr>
        <w:t xml:space="preserve">    "createdAt"   TIMESTAMP DEFAULT NOW(),</w:t>
      </w:r>
    </w:p>
    <w:p>
      <w:pPr>
        <w:spacing w:after="0" w:before="0" w:line="240" w:lineRule="auto"/>
      </w:pPr>
      <w:r>
        <w:rPr>
          <w:rFonts w:ascii="Consolas" w:hAnsi="Consolas"/>
          <w:color w:val="2D2D2D"/>
          <w:sz w:val="18"/>
        </w:rPr>
        <w:t xml:space="preserve">    "updatedAt"   TIMESTAMP</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Table 3: Application Documents</w:t>
      </w:r>
    </w:p>
    <w:p>
      <w:pPr>
        <w:spacing w:after="0" w:before="0" w:line="240" w:lineRule="auto"/>
      </w:pPr>
      <w:r>
        <w:rPr>
          <w:rFonts w:ascii="Consolas" w:hAnsi="Consolas"/>
          <w:color w:val="2D2D2D"/>
          <w:sz w:val="18"/>
        </w:rPr>
        <w:t>CREATE TABLE "ApplicationDocument" (</w:t>
      </w:r>
    </w:p>
    <w:p>
      <w:pPr>
        <w:spacing w:after="0" w:before="0" w:line="240" w:lineRule="auto"/>
      </w:pPr>
      <w:r>
        <w:rPr>
          <w:rFonts w:ascii="Consolas" w:hAnsi="Consolas"/>
          <w:color w:val="2D2D2D"/>
          <w:sz w:val="18"/>
        </w:rPr>
        <w:t xml:space="preserve">    "id"            TEXT PRIMARY KEY DEFAULT cuid(),</w:t>
      </w:r>
    </w:p>
    <w:p>
      <w:pPr>
        <w:spacing w:after="0" w:before="0" w:line="240" w:lineRule="auto"/>
      </w:pPr>
      <w:r>
        <w:rPr>
          <w:rFonts w:ascii="Consolas" w:hAnsi="Consolas"/>
          <w:color w:val="2D2D2D"/>
          <w:sz w:val="18"/>
        </w:rPr>
        <w:t xml:space="preserve">    "applicationId" TEXT NOT NULL REFERENCES "VendorApplication"("id")</w:t>
      </w:r>
    </w:p>
    <w:p>
      <w:pPr>
        <w:spacing w:after="0" w:before="0" w:line="240" w:lineRule="auto"/>
      </w:pPr>
      <w:r>
        <w:rPr>
          <w:rFonts w:ascii="Consolas" w:hAnsi="Consolas"/>
          <w:color w:val="2D2D2D"/>
          <w:sz w:val="18"/>
        </w:rPr>
        <w:t xml:space="preserve">                    ON DELETE CASCADE,</w:t>
      </w:r>
    </w:p>
    <w:p>
      <w:pPr>
        <w:spacing w:after="0" w:before="0" w:line="240" w:lineRule="auto"/>
      </w:pPr>
      <w:r>
        <w:rPr>
          <w:rFonts w:ascii="Consolas" w:hAnsi="Consolas"/>
          <w:color w:val="2D2D2D"/>
          <w:sz w:val="18"/>
        </w:rPr>
        <w:t xml:space="preserve">    "documentType"  TEXT NOT NULL,</w:t>
      </w:r>
    </w:p>
    <w:p>
      <w:pPr>
        <w:spacing w:after="0" w:before="0" w:line="240" w:lineRule="auto"/>
      </w:pPr>
      <w:r>
        <w:rPr>
          <w:rFonts w:ascii="Consolas" w:hAnsi="Consolas"/>
          <w:color w:val="2D2D2D"/>
          <w:sz w:val="18"/>
        </w:rPr>
        <w:t xml:space="preserve">    "fileName"      TEXT NOT NULL,</w:t>
      </w:r>
    </w:p>
    <w:p>
      <w:pPr>
        <w:spacing w:after="0" w:before="0" w:line="240" w:lineRule="auto"/>
      </w:pPr>
      <w:r>
        <w:rPr>
          <w:rFonts w:ascii="Consolas" w:hAnsi="Consolas"/>
          <w:color w:val="2D2D2D"/>
          <w:sz w:val="18"/>
        </w:rPr>
        <w:t xml:space="preserve">    "fileUrl"       TEXT NOT NULL,</w:t>
      </w:r>
    </w:p>
    <w:p>
      <w:pPr>
        <w:spacing w:after="0" w:before="0" w:line="240" w:lineRule="auto"/>
      </w:pPr>
      <w:r>
        <w:rPr>
          <w:rFonts w:ascii="Consolas" w:hAnsi="Consolas"/>
          <w:color w:val="2D2D2D"/>
          <w:sz w:val="18"/>
        </w:rPr>
        <w:t xml:space="preserve">    "mimeType"      TEXT,</w:t>
      </w:r>
    </w:p>
    <w:p>
      <w:pPr>
        <w:spacing w:after="0" w:before="0" w:line="240" w:lineRule="auto"/>
      </w:pPr>
      <w:r>
        <w:rPr>
          <w:rFonts w:ascii="Consolas" w:hAnsi="Consolas"/>
          <w:color w:val="2D2D2D"/>
          <w:sz w:val="18"/>
        </w:rPr>
        <w:t xml:space="preserve">    "sizeBytes"     INTEGER,</w:t>
      </w:r>
    </w:p>
    <w:p>
      <w:pPr>
        <w:spacing w:after="0" w:before="0" w:line="240" w:lineRule="auto"/>
      </w:pPr>
      <w:r>
        <w:rPr>
          <w:rFonts w:ascii="Consolas" w:hAnsi="Consolas"/>
          <w:color w:val="2D2D2D"/>
          <w:sz w:val="18"/>
        </w:rPr>
        <w:t xml:space="preserve">    "createdAt"     TIMESTAMP DEFAULT NOW()</w:t>
      </w:r>
    </w:p>
    <w:p>
      <w:pPr>
        <w:spacing w:after="0" w:before="0" w:line="240" w:lineRule="auto"/>
      </w:pPr>
      <w:r>
        <w:rPr>
          <w:rFonts w:ascii="Consolas" w:hAnsi="Consolas"/>
          <w:color w:val="2D2D2D"/>
          <w:sz w:val="18"/>
        </w:rPr>
        <w:t>);</w:t>
      </w:r>
    </w:p>
    <w:p>
      <w:pPr>
        <w:spacing w:after="0" w:before="0" w:line="240" w:lineRule="auto"/>
      </w:pPr>
      <w:r>
        <w:rPr>
          <w:rFonts w:ascii="Consolas" w:hAnsi="Consolas"/>
          <w:color w:val="2D2D2D"/>
          <w:sz w:val="18"/>
        </w:rPr>
      </w:r>
    </w:p>
    <w:p>
      <w:pPr>
        <w:spacing w:after="0" w:before="0" w:line="240" w:lineRule="auto"/>
      </w:pPr>
      <w:r>
        <w:rPr>
          <w:rFonts w:ascii="Consolas" w:hAnsi="Consolas"/>
          <w:color w:val="2D2D2D"/>
          <w:sz w:val="18"/>
        </w:rPr>
        <w:t>-- 6 Performance Indexes</w:t>
      </w:r>
    </w:p>
    <w:p>
      <w:pPr>
        <w:spacing w:after="0" w:before="0" w:line="240" w:lineRule="auto"/>
      </w:pPr>
      <w:r>
        <w:rPr>
          <w:rFonts w:ascii="Consolas" w:hAnsi="Consolas"/>
          <w:color w:val="2D2D2D"/>
          <w:sz w:val="18"/>
        </w:rPr>
        <w:t>CREATE UNIQUE INDEX ON "User"("panCard");</w:t>
      </w:r>
    </w:p>
    <w:p>
      <w:pPr>
        <w:spacing w:after="0" w:before="0" w:line="240" w:lineRule="auto"/>
      </w:pPr>
      <w:r>
        <w:rPr>
          <w:rFonts w:ascii="Consolas" w:hAnsi="Consolas"/>
          <w:color w:val="2D2D2D"/>
          <w:sz w:val="18"/>
        </w:rPr>
        <w:t>CREATE INDEX ON "VendorApplication"("userId");</w:t>
      </w:r>
    </w:p>
    <w:p>
      <w:pPr>
        <w:spacing w:after="0" w:before="0" w:line="240" w:lineRule="auto"/>
      </w:pPr>
      <w:r>
        <w:rPr>
          <w:rFonts w:ascii="Consolas" w:hAnsi="Consolas"/>
          <w:color w:val="2D2D2D"/>
          <w:sz w:val="18"/>
        </w:rPr>
        <w:t>CREATE INDEX ON "VendorApplication"("status");</w:t>
      </w:r>
    </w:p>
    <w:p>
      <w:pPr>
        <w:spacing w:after="0" w:before="0" w:line="240" w:lineRule="auto"/>
      </w:pPr>
      <w:r>
        <w:rPr>
          <w:rFonts w:ascii="Consolas" w:hAnsi="Consolas"/>
          <w:color w:val="2D2D2D"/>
          <w:sz w:val="18"/>
        </w:rPr>
        <w:t>CREATE INDEX ON "VendorApplication"("category");</w:t>
      </w:r>
    </w:p>
    <w:p>
      <w:pPr>
        <w:spacing w:after="0" w:before="0" w:line="240" w:lineRule="auto"/>
      </w:pPr>
      <w:r>
        <w:rPr>
          <w:rFonts w:ascii="Consolas" w:hAnsi="Consolas"/>
          <w:color w:val="2D2D2D"/>
          <w:sz w:val="18"/>
        </w:rPr>
        <w:t>CREATE INDEX ON "VendorApplication"("userId", "category", "status");</w:t>
      </w:r>
    </w:p>
    <w:p>
      <w:pPr>
        <w:spacing w:after="0" w:before="0" w:line="240" w:lineRule="auto"/>
      </w:pPr>
      <w:r>
        <w:rPr>
          <w:rFonts w:ascii="Consolas" w:hAnsi="Consolas"/>
          <w:color w:val="2D2D2D"/>
          <w:sz w:val="18"/>
        </w:rPr>
        <w:t>CREATE INDEX ON "ApplicationDocument"("applicationId");</w:t>
      </w:r>
    </w:p>
    <w:p/>
    <w:p/>
    <w:p>
      <w:pPr>
        <w:jc w:val="center"/>
      </w:pPr>
      <w:r>
        <w:rPr>
          <w:rFonts w:ascii="Calibri" w:hAnsi="Calibri"/>
          <w:i/>
          <w:color w:val="999999"/>
          <w:sz w:val="22"/>
        </w:rPr>
        <w:t>— End of Report —</w:t>
      </w:r>
    </w:p>
    <w:p/>
    <w:p>
      <w:pPr>
        <w:jc w:val="center"/>
      </w:pPr>
      <w:r>
        <w:rPr>
          <w:rFonts w:ascii="Calibri" w:hAnsi="Calibri"/>
          <w:color w:val="AAAAAA"/>
          <w:sz w:val="18"/>
        </w:rPr>
        <w:t>DMRC Vendor Registration Portal v0.1.0 • Report generated June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F87"/>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F8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F8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