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Kit and Presentation Standards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accordance with the standards of the ALHF and the QLHF, our Compaignye prioritizes the transition from "costume" to "historical clothing."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Foundational Garments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members are required to have adequate linen base layers (shirts/smocks and braies) made of natural, period-appropriate fibers (linen or hemp).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Woolens: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Outer layers must be constructed from wool, or suitably authentic period appropriate materials. Modern synthetics or visible machine stitching are prohibited for public-facing kit.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Methodology of Construction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Patterns: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Patterns should be derived from period-appropriate resources.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Stitching: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internal seams may be finished by machine, all visible exterior stitching must be performed by hand using period-correct techniques (e.g., stab-stitch, felling).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Martial Standards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Armour: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Reconstructed harness must reflect the specific period of the member's persona.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Safety: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armour must pass the rigorous safety inspections mandated by ALHF guidelines.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Documentation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member is required to maintain a "Kit History" or documentation file. This file must contain: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Visual evidence (manuscript illuminations, effigies, or paintings) for the chosen persona.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Fabric samples and descriptions of construction techniques used.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Maintenance logs for armour and weapons.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