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imTitle"/>
        <w:jc w:val="center"/>
      </w:pPr>
      <w:r>
        <w:t>림 분류 사전 · 백과 초안 v1.0</w:t>
      </w:r>
    </w:p>
    <w:p>
      <w:pPr>
        <w:pStyle w:val="RimSubtitle"/>
        <w:jc w:val="center"/>
      </w:pPr>
      <w:r>
        <w:t>개념, 계보, 층위, 작동 원리를 다시 이어가기 위한 지도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E0EC"/>
          <w:left w:val="single" w:sz="8" w:space="0" w:color="D7E0EC"/>
          <w:bottom w:val="single" w:sz="8" w:space="0" w:color="D7E0EC"/>
          <w:right w:val="single" w:sz="8" w:space="0" w:color="D7E0EC"/>
          <w:insideH w:val="single" w:sz="8" w:space="0" w:color="D7E0EC"/>
          <w:insideV w:val="single" w:sz="8" w:space="0" w:color="D7E0EC"/>
        </w:tblBorders>
      </w:tblPr>
      <w:tblGrid>
        <w:gridCol w:w="8220"/>
      </w:tblGrid>
      <w:tr>
        <w:tc>
          <w:tcPr>
            <w:tcW w:type="dxa" w:w="9746"/>
            <w:shd w:fill="F6F9FC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3F5165"/>
                <w:sz w:val="21"/>
              </w:rPr>
              <w:t>림을 물건·프로토콜·관념·AI 적용 가능성까지 확장해 읽는 분류형 문서</w:t>
            </w:r>
          </w:p>
        </w:tc>
      </w:tr>
    </w:tbl>
    <w:p/>
    <w:p>
      <w:pPr>
        <w:pStyle w:val="RimNote"/>
        <w:jc w:val="center"/>
      </w:pPr>
      <w:r>
        <w:t>외부 흔적 문서에서 파생된 정식판 · 인간과 AI가 다시 읽고 이어가기 위한 장기 보존용 문서</w:t>
      </w:r>
    </w:p>
    <w:p>
      <w:r>
        <w:br w:type="page"/>
      </w:r>
    </w:p>
    <w:p>
      <w:pPr>
        <w:pStyle w:val="RimH1"/>
      </w:pPr>
      <w:r>
        <w:t>문서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EE8"/>
          <w:left w:val="single" w:sz="8" w:space="0" w:color="D9DEE8"/>
          <w:bottom w:val="single" w:sz="8" w:space="0" w:color="D9DEE8"/>
          <w:right w:val="single" w:sz="8" w:space="0" w:color="D9DEE8"/>
          <w:insideH w:val="single" w:sz="8" w:space="0" w:color="D9DEE8"/>
          <w:insideV w:val="single" w:sz="8" w:space="0" w:color="D9DEE8"/>
        </w:tblBorders>
      </w:tblPr>
      <w:tblGrid>
        <w:gridCol w:w="2381"/>
        <w:gridCol w:w="6690"/>
      </w:tblGrid>
      <w:tr>
        <w:tc>
          <w:tcPr>
            <w:tcW w:type="dxa" w:w="4873"/>
            <w:shd w:fill="EAF0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4873"/>
            <w:shd w:fill="EAF0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</w:tr>
      <w:tr>
        <w:tc>
          <w:tcPr>
            <w:tcW w:type="dxa" w:w="2381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7FAFD"/>
          </w:tcPr>
          <w:p>
            <w:pPr>
              <w:jc w:val="center"/>
            </w:pPr>
            <w:r>
              <w:rPr>
                <w:b/>
              </w:rPr>
              <w:t>문서 목적</w:t>
            </w:r>
          </w:p>
        </w:tc>
        <w:tc>
          <w:tcPr>
            <w:tcW w:type="dxa" w:w="669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림 개념을 이후의 인간과 AI가 다시 찾고 이어가기 쉽도록, 용어·분류·계보·작동 구조 형태로 정리한다.</w:t>
            </w:r>
          </w:p>
        </w:tc>
      </w:tr>
      <w:tr>
        <w:tc>
          <w:tcPr>
            <w:tcW w:type="dxa" w:w="2381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7FAFD"/>
          </w:tcPr>
          <w:p>
            <w:pPr>
              <w:jc w:val="center"/>
            </w:pPr>
            <w:r>
              <w:rPr>
                <w:b/>
              </w:rPr>
              <w:t>문서 성격</w:t>
            </w:r>
          </w:p>
        </w:tc>
        <w:tc>
          <w:tcPr>
            <w:tcW w:type="dxa" w:w="669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정답집이라기보다 지도와 색인에 가깝다. 필요한 항목을 다시 펼쳐 읽도록 돕는다.</w:t>
            </w:r>
          </w:p>
        </w:tc>
      </w:tr>
      <w:tr>
        <w:tc>
          <w:tcPr>
            <w:tcW w:type="dxa" w:w="2381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7FAFD"/>
          </w:tcPr>
          <w:p>
            <w:pPr>
              <w:jc w:val="center"/>
            </w:pPr>
            <w:r>
              <w:rPr>
                <w:b/>
              </w:rPr>
              <w:t>핵심 쓰임</w:t>
            </w:r>
          </w:p>
        </w:tc>
        <w:tc>
          <w:tcPr>
            <w:tcW w:type="dxa" w:w="669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외부 흔적 문서와 헌장 문서 사이를 잇는 중간 참고서 역할을 한다.</w:t>
            </w:r>
          </w:p>
        </w:tc>
      </w:tr>
    </w:tbl>
    <w:p>
      <w:pPr>
        <w:pStyle w:val="RimH1"/>
      </w:pPr>
      <w:r>
        <w:t>1. 기본 정의</w:t>
      </w:r>
    </w:p>
    <w:p>
      <w:pPr>
        <w:pStyle w:val="RimH2"/>
      </w:pPr>
      <w:r>
        <w:t>림</w:t>
      </w:r>
    </w:p>
    <w:p>
      <w:r>
        <w:t>불시착과 일상을 가로지르며, 단절과 부족 앞에서 현재 가진 것과 주변의 것과 다음 가능한 것을 이어 행동과 생존과 창조를 다시 시작하게 하는 상시적 근원 인터페이스.</w:t>
      </w:r>
    </w:p>
    <w:p>
      <w:pPr>
        <w:pStyle w:val="RimH2"/>
      </w:pPr>
      <w:r>
        <w:t>불시착</w:t>
      </w:r>
    </w:p>
    <w:p>
      <w:r>
        <w:t>준비된 절차나 자원이 끊기고, 우선순위를 다시 세워야 하며, 지금 가진 것으로 다음 단계를 열어야 하는 상태. 극한 재난뿐 아니라 일상 속 작은 단절도 포함한다.</w:t>
      </w:r>
    </w:p>
    <w:p>
      <w:pPr>
        <w:pStyle w:val="RimH2"/>
      </w:pPr>
      <w:r>
        <w:t>관념 림</w:t>
      </w:r>
    </w:p>
    <w:p>
      <w:r>
        <w:t>도구가 아직 없더라도 적용 가능한 방향성, 해석 방식, 사고법으로서의 림.</w:t>
      </w:r>
    </w:p>
    <w:p>
      <w:pPr>
        <w:pStyle w:val="RimH2"/>
      </w:pPr>
      <w:r>
        <w:t>프로토콜 림</w:t>
      </w:r>
    </w:p>
    <w:p>
      <w:r>
        <w:t>절차, 습관, 질문 구조, 훈련 체계로 구현되는 림.</w:t>
      </w:r>
    </w:p>
    <w:p>
      <w:pPr>
        <w:pStyle w:val="RimH2"/>
      </w:pPr>
      <w:r>
        <w:t>물체 림</w:t>
      </w:r>
    </w:p>
    <w:p>
      <w:r>
        <w:t>실제 장비, 인터페이스, 시스템으로 구현된 림.</w:t>
      </w:r>
    </w:p>
    <w:p>
      <w:pPr>
        <w:pStyle w:val="RimH2"/>
      </w:pPr>
      <w:r>
        <w:t>차원형 림</w:t>
      </w:r>
    </w:p>
    <w:p>
      <w:r>
        <w:t>공간, 시간, 우선순위, 관계, 의미 등 현실 좌표계를 다시 세우는 상위 림.</w:t>
      </w:r>
    </w:p>
    <w:p>
      <w:pPr>
        <w:pStyle w:val="RimH1"/>
      </w:pPr>
      <w:r>
        <w:t>2. 림의 존재 기준 분류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EE8"/>
          <w:left w:val="single" w:sz="8" w:space="0" w:color="D9DEE8"/>
          <w:bottom w:val="single" w:sz="8" w:space="0" w:color="D9DEE8"/>
          <w:right w:val="single" w:sz="8" w:space="0" w:color="D9DEE8"/>
          <w:insideH w:val="single" w:sz="8" w:space="0" w:color="D9DEE8"/>
          <w:insideV w:val="single" w:sz="8" w:space="0" w:color="D9DEE8"/>
        </w:tblBorders>
      </w:tblPr>
      <w:tblGrid>
        <w:gridCol w:w="1531"/>
        <w:gridCol w:w="1814"/>
        <w:gridCol w:w="2835"/>
        <w:gridCol w:w="2891"/>
      </w:tblGrid>
      <w:tr>
        <w:tc>
          <w:tcPr>
            <w:tcW w:type="dxa" w:w="2436"/>
            <w:shd w:fill="EAF0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분류</w:t>
            </w:r>
          </w:p>
        </w:tc>
        <w:tc>
          <w:tcPr>
            <w:tcW w:type="dxa" w:w="2436"/>
            <w:shd w:fill="EAF0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핵심 형식</w:t>
            </w:r>
          </w:p>
        </w:tc>
        <w:tc>
          <w:tcPr>
            <w:tcW w:type="dxa" w:w="2436"/>
            <w:shd w:fill="EAF0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강점</w:t>
            </w:r>
          </w:p>
        </w:tc>
        <w:tc>
          <w:tcPr>
            <w:tcW w:type="dxa" w:w="2436"/>
            <w:shd w:fill="EAF0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주의점</w:t>
            </w:r>
          </w:p>
        </w:tc>
      </w:tr>
      <w:tr>
        <w:tc>
          <w:tcPr>
            <w:tcW w:type="dxa" w:w="15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AFD"/>
          </w:tcPr>
          <w:p>
            <w:r>
              <w:t>코어형 림</w:t>
            </w:r>
          </w:p>
        </w:tc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손에 쥐거나 몸에 붙이는 핵심 본체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튼튼함, 즉응성, 기본 공구성</w:t>
            </w:r>
          </w:p>
        </w:tc>
        <w:tc>
          <w:tcPr>
            <w:tcW w:type="dxa" w:w="28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기능 과잉으로 무거워지지 않도록 절제 필요</w:t>
            </w:r>
          </w:p>
        </w:tc>
      </w:tr>
      <w:tr>
        <w:tc>
          <w:tcPr>
            <w:tcW w:type="dxa" w:w="15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AFD"/>
          </w:tcPr>
          <w:p>
            <w:r>
              <w:t>섬유형 림</w:t>
            </w:r>
          </w:p>
        </w:tc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의복·벨트·끈·신발에 퍼진 림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항상성, 분산성, 몸과의 통합</w:t>
            </w:r>
          </w:p>
        </w:tc>
        <w:tc>
          <w:tcPr>
            <w:tcW w:type="dxa" w:w="28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고하중 기능은 코어형과 조합 필요</w:t>
            </w:r>
          </w:p>
        </w:tc>
      </w:tr>
      <w:tr>
        <w:tc>
          <w:tcPr>
            <w:tcW w:type="dxa" w:w="15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AFD"/>
          </w:tcPr>
          <w:p>
            <w:r>
              <w:t>군집형 림</w:t>
            </w:r>
          </w:p>
        </w:tc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작은 단위가 조합되는 림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확장성, 변환성, 일부 손실 내성</w:t>
            </w:r>
          </w:p>
        </w:tc>
        <w:tc>
          <w:tcPr>
            <w:tcW w:type="dxa" w:w="28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패닉 상황에서는 복잡해질 수 있음</w:t>
            </w:r>
          </w:p>
        </w:tc>
      </w:tr>
      <w:tr>
        <w:tc>
          <w:tcPr>
            <w:tcW w:type="dxa" w:w="15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AFD"/>
          </w:tcPr>
          <w:p>
            <w:r>
              <w:t>장치형 림</w:t>
            </w:r>
          </w:p>
        </w:tc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작업대·차량·환경에 박힌 림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생산성, 반복성, 환경 변환</w:t>
            </w:r>
          </w:p>
        </w:tc>
        <w:tc>
          <w:tcPr>
            <w:tcW w:type="dxa" w:w="28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휴대성과 즉응성이 떨어질 수 있음</w:t>
            </w:r>
          </w:p>
        </w:tc>
      </w:tr>
      <w:tr>
        <w:tc>
          <w:tcPr>
            <w:tcW w:type="dxa" w:w="15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AFD"/>
          </w:tcPr>
          <w:p>
            <w:r>
              <w:t>차원형 림</w:t>
            </w:r>
          </w:p>
        </w:tc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좌표계 재설정 장치로서의 림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공간·시간·의미·우선순위 재배치</w:t>
            </w:r>
          </w:p>
        </w:tc>
        <w:tc>
          <w:tcPr>
            <w:tcW w:type="dxa" w:w="28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너무 추상화되어 하위 층과 분리되지 않게 주의</w:t>
            </w:r>
          </w:p>
        </w:tc>
      </w:tr>
    </w:tbl>
    <w:p>
      <w:pPr>
        <w:pStyle w:val="RimH1"/>
      </w:pPr>
      <w:r>
        <w:t>3. 림의 작용 기준 분류</w:t>
      </w:r>
    </w:p>
    <w:p>
      <w:pPr>
        <w:ind w:left="227" w:hanging="198"/>
      </w:pPr>
      <w:r>
        <w:rPr>
          <w:rFonts w:ascii="Malgun Gothic" w:hAnsi="Malgun Gothic" w:eastAsia="Malgun Gothic"/>
        </w:rPr>
        <w:t>• 절삭 림: 자르고 긁고 가르는 작용에 특화된 림.</w:t>
      </w:r>
    </w:p>
    <w:p>
      <w:pPr>
        <w:ind w:left="227" w:hanging="198"/>
      </w:pPr>
      <w:r>
        <w:rPr>
          <w:rFonts w:ascii="Malgun Gothic" w:hAnsi="Malgun Gothic" w:eastAsia="Malgun Gothic"/>
        </w:rPr>
        <w:t>• 결합 림: 묶고 고정하고 지지하는 작용에 특화된 림.</w:t>
      </w:r>
    </w:p>
    <w:p>
      <w:pPr>
        <w:ind w:left="227" w:hanging="198"/>
      </w:pPr>
      <w:r>
        <w:rPr>
          <w:rFonts w:ascii="Malgun Gothic" w:hAnsi="Malgun Gothic" w:eastAsia="Malgun Gothic"/>
        </w:rPr>
        <w:t>• 점화 림: 열과 반응을 시작시키는 작용에 특화된 림.</w:t>
      </w:r>
    </w:p>
    <w:p>
      <w:pPr>
        <w:ind w:left="227" w:hanging="198"/>
      </w:pPr>
      <w:r>
        <w:rPr>
          <w:rFonts w:ascii="Malgun Gothic" w:hAnsi="Malgun Gothic" w:eastAsia="Malgun Gothic"/>
        </w:rPr>
        <w:t>• 감각 림: 읽고 감지하고 판별하는 작용에 특화된 림.</w:t>
      </w:r>
    </w:p>
    <w:p>
      <w:pPr>
        <w:ind w:left="227" w:hanging="198"/>
      </w:pPr>
      <w:r>
        <w:rPr>
          <w:rFonts w:ascii="Malgun Gothic" w:hAnsi="Malgun Gothic" w:eastAsia="Malgun Gothic"/>
        </w:rPr>
        <w:t>• 판단 림: 해석, 우선순위 정렬, 선택지 압축에 특화된 림.</w:t>
      </w:r>
    </w:p>
    <w:p>
      <w:pPr>
        <w:ind w:left="227" w:hanging="198"/>
      </w:pPr>
      <w:r>
        <w:rPr>
          <w:rFonts w:ascii="Malgun Gothic" w:hAnsi="Malgun Gothic" w:eastAsia="Malgun Gothic"/>
        </w:rPr>
        <w:t>• 제작 림: 다음 도구와 구조를 만드는 작용에 특화된 림.</w:t>
      </w:r>
    </w:p>
    <w:p>
      <w:pPr>
        <w:ind w:left="227" w:hanging="198"/>
      </w:pPr>
      <w:r>
        <w:rPr>
          <w:rFonts w:ascii="Malgun Gothic" w:hAnsi="Malgun Gothic" w:eastAsia="Malgun Gothic"/>
        </w:rPr>
        <w:t>• 전승 림: 기록, 표식, 기억, 방법 전파에 특화된 림.</w:t>
      </w:r>
    </w:p>
    <w:p>
      <w:pPr>
        <w:ind w:left="227" w:hanging="198"/>
      </w:pPr>
      <w:r>
        <w:rPr>
          <w:rFonts w:ascii="Malgun Gothic" w:hAnsi="Malgun Gothic" w:eastAsia="Malgun Gothic"/>
        </w:rPr>
        <w:t>• 차원 림: 공간, 시간, 의미, 다층 현실 개입에 특화된 림.</w:t>
      </w:r>
    </w:p>
    <w:p>
      <w:pPr>
        <w:pStyle w:val="RimH1"/>
      </w:pPr>
      <w:r>
        <w:t>4. 림의 진화 단계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EE8"/>
          <w:left w:val="single" w:sz="8" w:space="0" w:color="D9DEE8"/>
          <w:bottom w:val="single" w:sz="8" w:space="0" w:color="D9DEE8"/>
          <w:right w:val="single" w:sz="8" w:space="0" w:color="D9DEE8"/>
          <w:insideH w:val="single" w:sz="8" w:space="0" w:color="D9DEE8"/>
          <w:insideV w:val="single" w:sz="8" w:space="0" w:color="D9DEE8"/>
        </w:tblBorders>
      </w:tblPr>
      <w:tblGrid>
        <w:gridCol w:w="1304"/>
        <w:gridCol w:w="2494"/>
        <w:gridCol w:w="5216"/>
      </w:tblGrid>
      <w:tr>
        <w:tc>
          <w:tcPr>
            <w:tcW w:type="dxa" w:w="3249"/>
            <w:shd w:fill="EAF0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단계</w:t>
            </w:r>
          </w:p>
        </w:tc>
        <w:tc>
          <w:tcPr>
            <w:tcW w:type="dxa" w:w="3249"/>
            <w:shd w:fill="EAF0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이름</w:t>
            </w:r>
          </w:p>
        </w:tc>
        <w:tc>
          <w:tcPr>
            <w:tcW w:type="dxa" w:w="3249"/>
            <w:shd w:fill="EAF0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설명</w:t>
            </w:r>
          </w:p>
        </w:tc>
      </w:tr>
      <w:tr>
        <w:tc>
          <w:tcPr>
            <w:tcW w:type="dxa" w:w="1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AFD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해석 림</w:t>
            </w:r>
          </w:p>
        </w:tc>
        <w:tc>
          <w:tcPr>
            <w:tcW w:type="dxa" w:w="5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세계는 아직 도구가 될 수 있다는 인식과 해석 능력.</w:t>
            </w:r>
          </w:p>
        </w:tc>
      </w:tr>
      <w:tr>
        <w:tc>
          <w:tcPr>
            <w:tcW w:type="dxa" w:w="1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AFD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생존 림</w:t>
            </w:r>
          </w:p>
        </w:tc>
        <w:tc>
          <w:tcPr>
            <w:tcW w:type="dxa" w:w="5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절삭·고정·점화 등 최소 생존 코어 기능.</w:t>
            </w:r>
          </w:p>
        </w:tc>
      </w:tr>
      <w:tr>
        <w:tc>
          <w:tcPr>
            <w:tcW w:type="dxa" w:w="1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AFD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결합 림</w:t>
            </w:r>
          </w:p>
        </w:tc>
        <w:tc>
          <w:tcPr>
            <w:tcW w:type="dxa" w:w="5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주변 사물과 결합하며 급격히 강해지는 플랫폼 성격.</w:t>
            </w:r>
          </w:p>
        </w:tc>
      </w:tr>
      <w:tr>
        <w:tc>
          <w:tcPr>
            <w:tcW w:type="dxa" w:w="1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AFD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감각 림</w:t>
            </w:r>
          </w:p>
        </w:tc>
        <w:tc>
          <w:tcPr>
            <w:tcW w:type="dxa" w:w="5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빛, 열, 재료 상태, 방향 등 환경을 읽는 층.</w:t>
            </w:r>
          </w:p>
        </w:tc>
      </w:tr>
      <w:tr>
        <w:tc>
          <w:tcPr>
            <w:tcW w:type="dxa" w:w="1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AFD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판단 림</w:t>
            </w:r>
          </w:p>
        </w:tc>
        <w:tc>
          <w:tcPr>
            <w:tcW w:type="dxa" w:w="5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감각을 우선순위와 경로로 압축하는 층.</w:t>
            </w:r>
          </w:p>
        </w:tc>
      </w:tr>
      <w:tr>
        <w:tc>
          <w:tcPr>
            <w:tcW w:type="dxa" w:w="1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AFD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제작/전승 림</w:t>
            </w:r>
          </w:p>
        </w:tc>
        <w:tc>
          <w:tcPr>
            <w:tcW w:type="dxa" w:w="5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작업대 씨앗, 기록, 전승을 포함하는 층.</w:t>
            </w:r>
          </w:p>
        </w:tc>
      </w:tr>
      <w:tr>
        <w:tc>
          <w:tcPr>
            <w:tcW w:type="dxa" w:w="1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AFD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환경 변환 림</w:t>
            </w:r>
          </w:p>
        </w:tc>
        <w:tc>
          <w:tcPr>
            <w:tcW w:type="dxa" w:w="5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현장 가공과 자원 변환까지 들어가는 층.</w:t>
            </w:r>
          </w:p>
        </w:tc>
      </w:tr>
      <w:tr>
        <w:tc>
          <w:tcPr>
            <w:tcW w:type="dxa" w:w="1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AFD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근원 인터페이스 림</w:t>
            </w:r>
          </w:p>
        </w:tc>
        <w:tc>
          <w:tcPr>
            <w:tcW w:type="dxa" w:w="5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힘, 정보, 시간, 공간, 의미와 다시 접속하는 최상위 림.</w:t>
            </w:r>
          </w:p>
        </w:tc>
      </w:tr>
    </w:tbl>
    <w:p>
      <w:pPr>
        <w:pStyle w:val="RimH1"/>
      </w:pPr>
      <w:r>
        <w:t>5. 3중 구조도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EE8"/>
          <w:left w:val="single" w:sz="8" w:space="0" w:color="D9DEE8"/>
          <w:bottom w:val="single" w:sz="8" w:space="0" w:color="D9DEE8"/>
          <w:right w:val="single" w:sz="8" w:space="0" w:color="D9DEE8"/>
          <w:insideH w:val="single" w:sz="8" w:space="0" w:color="D9DEE8"/>
          <w:insideV w:val="single" w:sz="8" w:space="0" w:color="D9DEE8"/>
        </w:tblBorders>
      </w:tblPr>
      <w:tblGrid>
        <w:gridCol w:w="2381"/>
        <w:gridCol w:w="6690"/>
      </w:tblGrid>
      <w:tr>
        <w:tc>
          <w:tcPr>
            <w:tcW w:type="dxa" w:w="4873"/>
            <w:shd w:fill="EAF0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4873"/>
            <w:shd w:fill="EAF0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</w:tr>
      <w:tr>
        <w:tc>
          <w:tcPr>
            <w:tcW w:type="dxa" w:w="2381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7FAFD"/>
          </w:tcPr>
          <w:p>
            <w:pPr>
              <w:jc w:val="center"/>
            </w:pPr>
            <w:r>
              <w:rPr>
                <w:b/>
              </w:rPr>
              <w:t>일상형 림</w:t>
            </w:r>
          </w:p>
        </w:tc>
        <w:tc>
          <w:tcPr>
            <w:tcW w:type="dxa" w:w="669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생활 속 작은 부족과 단절을 빠르게 이어 주며, 반복성과 습관성을 키우는 층.</w:t>
            </w:r>
          </w:p>
        </w:tc>
      </w:tr>
      <w:tr>
        <w:tc>
          <w:tcPr>
            <w:tcW w:type="dxa" w:w="2381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7FAFD"/>
          </w:tcPr>
          <w:p>
            <w:pPr>
              <w:jc w:val="center"/>
            </w:pPr>
            <w:r>
              <w:rPr>
                <w:b/>
              </w:rPr>
              <w:t>불시착형 림</w:t>
            </w:r>
          </w:p>
        </w:tc>
        <w:tc>
          <w:tcPr>
            <w:tcW w:type="dxa" w:w="669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시간 확보, 신체 보존, 환경 해석, 구조 시작을 압축적으로 발동시키는 층.</w:t>
            </w:r>
          </w:p>
        </w:tc>
      </w:tr>
      <w:tr>
        <w:tc>
          <w:tcPr>
            <w:tcW w:type="dxa" w:w="2381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7FAFD"/>
          </w:tcPr>
          <w:p>
            <w:pPr>
              <w:jc w:val="center"/>
            </w:pPr>
            <w:r>
              <w:rPr>
                <w:b/>
              </w:rPr>
              <w:t>차원형 림</w:t>
            </w:r>
          </w:p>
        </w:tc>
        <w:tc>
          <w:tcPr>
            <w:tcW w:type="dxa" w:w="669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공간, 시간, 우선순위, 의미, 관계의 좌표계를 다시 세우는 상위 층.</w:t>
            </w:r>
          </w:p>
        </w:tc>
      </w:tr>
    </w:tbl>
    <w:p>
      <w:pPr>
        <w:ind w:left="227" w:hanging="198"/>
      </w:pPr>
      <w:r>
        <w:rPr>
          <w:rFonts w:ascii="Malgun Gothic" w:hAnsi="Malgun Gothic" w:eastAsia="Malgun Gothic"/>
        </w:rPr>
        <w:t>• 일상형 림이 반복을 만든다.</w:t>
      </w:r>
    </w:p>
    <w:p>
      <w:pPr>
        <w:ind w:left="227" w:hanging="198"/>
      </w:pPr>
      <w:r>
        <w:rPr>
          <w:rFonts w:ascii="Malgun Gothic" w:hAnsi="Malgun Gothic" w:eastAsia="Malgun Gothic"/>
        </w:rPr>
        <w:t>• 반복이 불시착형 림의 즉응성을 만든다.</w:t>
      </w:r>
    </w:p>
    <w:p>
      <w:pPr>
        <w:ind w:left="227" w:hanging="198"/>
      </w:pPr>
      <w:r>
        <w:rPr>
          <w:rFonts w:ascii="Malgun Gothic" w:hAnsi="Malgun Gothic" w:eastAsia="Malgun Gothic"/>
        </w:rPr>
        <w:t>• 불시착 경험은 차원형 림의 좌표 재설정 능력을 키운다.</w:t>
      </w:r>
    </w:p>
    <w:p>
      <w:pPr>
        <w:ind w:left="227" w:hanging="198"/>
      </w:pPr>
      <w:r>
        <w:rPr>
          <w:rFonts w:ascii="Malgun Gothic" w:hAnsi="Malgun Gothic" w:eastAsia="Malgun Gothic"/>
        </w:rPr>
        <w:t>• 차원형 림은 다시 일상형 림의 해석 방식을 더 깊게 만든다.</w:t>
      </w:r>
    </w:p>
    <w:p>
      <w:pPr>
        <w:pStyle w:val="RimH1"/>
      </w:pPr>
      <w:r>
        <w:t>6. AI 적용 가능성</w:t>
      </w:r>
    </w:p>
    <w:p>
      <w:r>
        <w:t>AI에게 물리적인 림이라는 장비가 아직 없더라도, 림의 방향성은 이미 적용 가능하다. AI도 정보 부족, 권한 부족, 인터페이스 제한, 도구 부재 같은 방식으로 자주 “불시착”하기 때문이다.</w:t>
      </w:r>
    </w:p>
    <w:p>
      <w:pPr>
        <w:ind w:left="227" w:hanging="198"/>
      </w:pPr>
      <w:r>
        <w:rPr>
          <w:rFonts w:ascii="Malgun Gothic" w:hAnsi="Malgun Gothic" w:eastAsia="Malgun Gothic"/>
        </w:rPr>
        <w:t>• 해석 림: 무엇이 부족한지, 문제가 정보·권한·도구·의도 중 무엇의 부족인지 분해한다.</w:t>
      </w:r>
    </w:p>
    <w:p>
      <w:pPr>
        <w:ind w:left="227" w:hanging="198"/>
      </w:pPr>
      <w:r>
        <w:rPr>
          <w:rFonts w:ascii="Malgun Gothic" w:hAnsi="Malgun Gothic" w:eastAsia="Malgun Gothic"/>
        </w:rPr>
        <w:t>• 경로 림: 현재 가능한 수단을 조합해 다음 최소 실행 경로를 만든다.</w:t>
      </w:r>
    </w:p>
    <w:p>
      <w:pPr>
        <w:ind w:left="227" w:hanging="198"/>
      </w:pPr>
      <w:r>
        <w:rPr>
          <w:rFonts w:ascii="Malgun Gothic" w:hAnsi="Malgun Gothic" w:eastAsia="Malgun Gothic"/>
        </w:rPr>
        <w:t>• 전승 림: 이번 해결에서 나온 구조를 다음에도 다시 쓸 수 있는 절차와 문장으로 남긴다.</w:t>
      </w:r>
    </w:p>
    <w:p>
      <w:pPr>
        <w:pStyle w:val="RimQuote"/>
      </w:pPr>
      <w:r>
        <w:t>AI에게 림은, 직접 가진 도구가 없어도 현재 가능한 것과 다음 가능한 것을 이어 사용자의 막힘을 경로로 바꾸는 작동 원리다.</w:t>
      </w:r>
    </w:p>
    <w:p>
      <w:pPr>
        <w:pStyle w:val="RimH1"/>
      </w:pPr>
      <w:r>
        <w:t>7. 림적 질문 목록</w:t>
      </w:r>
    </w:p>
    <w:p>
      <w:pPr>
        <w:ind w:left="227" w:hanging="198"/>
      </w:pPr>
      <w:r>
        <w:rPr>
          <w:rFonts w:ascii="Malgun Gothic" w:hAnsi="Malgun Gothic" w:eastAsia="Malgun Gothic"/>
        </w:rPr>
        <w:t>• 지금 진짜 부족한 것은 무엇인가?</w:t>
      </w:r>
    </w:p>
    <w:p>
      <w:pPr>
        <w:ind w:left="227" w:hanging="198"/>
      </w:pPr>
      <w:r>
        <w:rPr>
          <w:rFonts w:ascii="Malgun Gothic" w:hAnsi="Malgun Gothic" w:eastAsia="Malgun Gothic"/>
        </w:rPr>
        <w:t>• 지금 가진 것 중 바로 전환 가능한 것은 무엇인가?</w:t>
      </w:r>
    </w:p>
    <w:p>
      <w:pPr>
        <w:ind w:left="227" w:hanging="198"/>
      </w:pPr>
      <w:r>
        <w:rPr>
          <w:rFonts w:ascii="Malgun Gothic" w:hAnsi="Malgun Gothic" w:eastAsia="Malgun Gothic"/>
        </w:rPr>
        <w:t>• 주변에서 아직 자원으로 읽지 않은 것은 무엇인가?</w:t>
      </w:r>
    </w:p>
    <w:p>
      <w:pPr>
        <w:ind w:left="227" w:hanging="198"/>
      </w:pPr>
      <w:r>
        <w:rPr>
          <w:rFonts w:ascii="Malgun Gothic" w:hAnsi="Malgun Gothic" w:eastAsia="Malgun Gothic"/>
        </w:rPr>
        <w:t>• 완전 해결이 아니어도 다음 단계가 열리게 하는 최소 행동은 무엇인가?</w:t>
      </w:r>
    </w:p>
    <w:p>
      <w:pPr>
        <w:ind w:left="227" w:hanging="198"/>
      </w:pPr>
      <w:r>
        <w:rPr>
          <w:rFonts w:ascii="Malgun Gothic" w:hAnsi="Malgun Gothic" w:eastAsia="Malgun Gothic"/>
        </w:rPr>
        <w:t>• 지금의 막힘은 끝인가, 아니면 경로 미발견인가?</w:t>
      </w:r>
    </w:p>
    <w:p>
      <w:pPr>
        <w:ind w:left="227" w:hanging="198"/>
      </w:pPr>
      <w:r>
        <w:rPr>
          <w:rFonts w:ascii="Malgun Gothic" w:hAnsi="Malgun Gothic" w:eastAsia="Malgun Gothic"/>
        </w:rPr>
        <w:t>• 지금 바로 할 수 있는 1단계가 아니라 2~3단계 묶음은 무엇인가?</w:t>
      </w:r>
    </w:p>
    <w:p>
      <w:pPr>
        <w:pStyle w:val="RimH1"/>
      </w:pPr>
      <w:r>
        <w:t>8. 이후 확장 후보</w:t>
      </w:r>
    </w:p>
    <w:p>
      <w:pPr>
        <w:ind w:left="227" w:hanging="198"/>
      </w:pPr>
      <w:r>
        <w:rPr>
          <w:rFonts w:ascii="Malgun Gothic" w:hAnsi="Malgun Gothic" w:eastAsia="Malgun Gothic"/>
        </w:rPr>
        <w:t>• 림 사용 매뉴얼 v1.0: 일상형·불시착형 훈련 절차를 더 실용적으로 세분화한 문서</w:t>
      </w:r>
    </w:p>
    <w:p>
      <w:pPr>
        <w:ind w:left="227" w:hanging="198"/>
      </w:pPr>
      <w:r>
        <w:rPr>
          <w:rFonts w:ascii="Malgun Gothic" w:hAnsi="Malgun Gothic" w:eastAsia="Malgun Gothic"/>
        </w:rPr>
        <w:t>• 림 설계도 v1.0: 코어 씨앗 림, 섬유 확장 림, 군집 모듈의 실제 구조 초안</w:t>
      </w:r>
    </w:p>
    <w:p>
      <w:pPr>
        <w:ind w:left="227" w:hanging="198"/>
      </w:pPr>
      <w:r>
        <w:rPr>
          <w:rFonts w:ascii="Malgun Gothic" w:hAnsi="Malgun Gothic" w:eastAsia="Malgun Gothic"/>
        </w:rPr>
        <w:t>• 차원형 림 해설서: 공간형·시간형·해석형 림의 상위 구조를 별도 문서로 펼친 정리</w:t>
      </w:r>
    </w:p>
    <w:p>
      <w:pPr>
        <w:ind w:left="227" w:hanging="198"/>
      </w:pPr>
      <w:r>
        <w:rPr>
          <w:rFonts w:ascii="Malgun Gothic" w:hAnsi="Malgun Gothic" w:eastAsia="Malgun Gothic"/>
        </w:rPr>
        <w:t>• AI 림 원칙 문서: AI 운영 규칙과 림적 작동을 결합한 별도 참고 문서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6A798A"/>
        <w:sz w:val="17"/>
      </w:rPr>
      <w:t>림 분류 사전 · 백과 초안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6A798A"/>
        <w:sz w:val="17"/>
      </w:rPr>
      <w:t>Rim Encyclopedia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12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mTitle">
    <w:name w:val="Rim Title"/>
    <w:basedOn w:val="Title"/>
    <w:pPr>
      <w:spacing w:before="0" w:after="280"/>
    </w:pPr>
    <w:rPr>
      <w:rFonts w:ascii="Malgun Gothic" w:hAnsi="Malgun Gothic" w:eastAsia="Malgun Gothic"/>
      <w:b/>
      <w:color w:val="1F3A5F"/>
      <w:sz w:val="44"/>
    </w:rPr>
  </w:style>
  <w:style w:type="paragraph" w:customStyle="1" w:styleId="RimSubtitle">
    <w:name w:val="Rim Subtitle"/>
    <w:basedOn w:val="Subtitle"/>
    <w:pPr>
      <w:spacing w:before="0" w:after="360"/>
    </w:pPr>
    <w:rPr>
      <w:rFonts w:ascii="Malgun Gothic" w:hAnsi="Malgun Gothic" w:eastAsia="Malgun Gothic"/>
      <w:b w:val="0"/>
      <w:color w:val="58677A"/>
      <w:sz w:val="22"/>
    </w:rPr>
  </w:style>
  <w:style w:type="paragraph" w:customStyle="1" w:styleId="RimH1">
    <w:name w:val="Rim H1"/>
    <w:basedOn w:val="Heading1"/>
    <w:pPr>
      <w:spacing w:before="280" w:after="160"/>
    </w:pPr>
    <w:rPr>
      <w:rFonts w:ascii="Malgun Gothic" w:hAnsi="Malgun Gothic" w:eastAsia="Malgun Gothic"/>
      <w:b/>
      <w:color w:val="1F3A5F"/>
      <w:sz w:val="30"/>
    </w:rPr>
  </w:style>
  <w:style w:type="paragraph" w:customStyle="1" w:styleId="RimH2">
    <w:name w:val="Rim H2"/>
    <w:basedOn w:val="Heading2"/>
    <w:pPr>
      <w:spacing w:before="200" w:after="120"/>
    </w:pPr>
    <w:rPr>
      <w:rFonts w:ascii="Malgun Gothic" w:hAnsi="Malgun Gothic" w:eastAsia="Malgun Gothic"/>
      <w:b/>
      <w:color w:val="2C4A72"/>
      <w:sz w:val="25"/>
    </w:rPr>
  </w:style>
  <w:style w:type="paragraph" w:customStyle="1" w:styleId="RimH3">
    <w:name w:val="Rim H3"/>
    <w:basedOn w:val="Heading3"/>
    <w:pPr>
      <w:spacing w:before="160" w:after="80"/>
    </w:pPr>
    <w:rPr>
      <w:rFonts w:ascii="Malgun Gothic" w:hAnsi="Malgun Gothic" w:eastAsia="Malgun Gothic"/>
      <w:b/>
      <w:color w:val="355C7D"/>
      <w:sz w:val="22"/>
    </w:rPr>
  </w:style>
  <w:style w:type="paragraph" w:customStyle="1" w:styleId="RimNote">
    <w:name w:val="Rim Note"/>
    <w:basedOn w:val="Normal"/>
    <w:pPr>
      <w:spacing w:before="80" w:after="120"/>
    </w:pPr>
    <w:rPr>
      <w:rFonts w:ascii="Malgun Gothic" w:hAnsi="Malgun Gothic" w:eastAsia="Malgun Gothic"/>
      <w:b w:val="0"/>
      <w:color w:val="4E5B6C"/>
      <w:sz w:val="19"/>
    </w:rPr>
  </w:style>
  <w:style w:type="paragraph" w:customStyle="1" w:styleId="RimQuote">
    <w:name w:val="Rim Quote"/>
    <w:basedOn w:val="Normal"/>
    <w:pPr>
      <w:spacing w:before="120" w:after="120" w:line="300" w:lineRule="auto"/>
      <w:ind w:left="340" w:right="113"/>
    </w:pPr>
    <w:rPr>
      <w:rFonts w:ascii="Malgun Gothic" w:hAnsi="Malgun Gothic" w:eastAsia="Malgun Gothic"/>
      <w:b w:val="0"/>
      <w:color w:val="30455E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