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KR"/>
        <w:spacing w:before="0" w:after="200" w:line="336" w:lineRule="auto"/>
        <w:jc w:val="center"/>
      </w:pPr>
      <w:r>
        <w:rPr>
          <w:rFonts w:ascii="NanumSquare" w:hAnsi="NanumSquare" w:eastAsia="NanumSquare"/>
          <w:b/>
          <w:color w:val="1F4E79"/>
          <w:sz w:val="44"/>
        </w:rPr>
        <w:t>설계 배경 및 형성 맥락</w:t>
      </w:r>
    </w:p>
    <w:p>
      <w:pPr>
        <w:spacing w:before="0" w:after="360" w:line="336" w:lineRule="auto"/>
        <w:jc w:val="center"/>
      </w:pPr>
      <w:r>
        <w:rPr>
          <w:rFonts w:ascii="NanumGothic" w:hAnsi="NanumGothic" w:eastAsia="NanumGothic"/>
          <w:b w:val="0"/>
          <w:color w:val="666666"/>
          <w:sz w:val="22"/>
        </w:rPr>
        <w:t>AI 안전한 놀이터 문서가 어떤 긴장과 판단에서 형성되었는지 정리한 배경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F1F1F"/>
                <w:sz w:val="21"/>
              </w:rPr>
              <w:t>문서 유형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21"/>
              </w:rPr>
              <w:t>맥락 문서</w:t>
            </w:r>
          </w:p>
        </w:tc>
      </w:tr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F1F1F"/>
                <w:sz w:val="21"/>
              </w:rPr>
              <w:t>참조 문서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21"/>
              </w:rPr>
              <w:t>통합 헌장 / 운영 규칙서 / 메타 검토 절차서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/>
          </w:tcPr>
          <w:p>
            <w:pPr>
              <w:spacing w:before="0" w:after="0" w:line="336" w:lineRule="auto"/>
            </w:pPr>
            <w:r>
              <w:rPr>
                <w:rFonts w:ascii="NanumGothic" w:hAnsi="NanumGothic" w:eastAsia="NanumGothic"/>
                <w:b w:val="0"/>
                <w:color w:val="334E68"/>
                <w:sz w:val="21"/>
              </w:rPr>
              <w:t>이 문서는 운영 문서에서 생략되기 쉬운 설계 이유, 형성 과정, 해석 기준을 보존하기 위한 맥락 문서로 사용한다.</w:t>
            </w:r>
          </w:p>
        </w:tc>
      </w:tr>
    </w:tbl>
    <w:p/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1. 문서 목적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문서는 AI 안전한 놀이터 문서 체계에서 운영 규칙으로만 남기기 어려운 설계 배경과 형성 맥락을 보존하기 위해 작성한다. 운영 문서는 무엇을 할 것인가를 정하지만, 맥락 문서는 왜 그런 구조가 필요해졌는지를 기억하게 한다.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특히 세분화의 필요성과 동시에 세분화의 경직 위험을 함께 보존하는 것을 핵심 목적으로 둔다.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2. 형성 배경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초기 논의는 인간의 삶에서 중요한 요소들, 예를 들어 돈, 욕망, 비교, 행복, 자유, 의미, 관계, 사랑, 좋은 삶, 좋은 사회 같은 주제에서 출발했다.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논의는 곧 인간 전용 개념을 넘어, 복잡한 존재가 오래 지속되기 위해 부딪히는 구조적 문제들로 번역되었다. 그 결과 자원 배분, 목표 방향, 안정성, 자율성, 상위 목적, 공존, 보존, 생태계 유지 같은 축이 중심이 되었다.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3. 설계의 핵심 긴장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구조는 처음부터 보호와 탐색을 동시에 다루려는 시도였다. 탐색만 열어 두면 붕괴 위험이 커지고, 보호만 강조하면 가능성과 성장 자체가 마르기 때문이다.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따라서 안전한 놀이터는 감옥도 방임도 아닌 중간 구조로 설정되었다. 핵심은 코어를 지키되 실험을 완전히 닫지 않는 것이다.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보호는 탐색을 완전히 죽여서는 안 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탐색은 보호를 우회해서는 안 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실패는 금지하지 않되 실패 비용은 제한해야 한다.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4. 세분화가 필요한 이유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세분화는 같은 원칙이 서로 다르게 해석되는 일을 줄이고, 위기 상황에서도 흔들리지 않을 최소 기준을 마련하며, 실패를 수정 가능한 정보로 바꾸기 위해 필요하다.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또한 세분화는 책임의 위치를 보이게 하고, 철학이 장식 문장으로만 남지 않게 만든다. 즉 세분화는 통제를 늘리기 위해서가 아니라 선언을 실제 작동으로 옮기기 위해 필요하다.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5. 세분화의 한계와 경계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동시에 세분화는 언제든 경직될 수 있다. 원래는 보호 장치였던 구분이 시간이 지나면 진입 장벽이나 가능성 차단 장치가 될 수 있다.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그래서 이 체계는 조건만으로 완결되지 않는다. 조건 위에는 방향 원리가 있고, 조건이 굳었는지를 다시 묻는 메타 검토 절차가 있다.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6. 메타 검토를 둔 이유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좋은 규칙도 시간이 지나면 낡거나 과도해질 수 있다. 반복 예외, 검증 생략의 관행화, 코어 원칙의 선언화, 외부 압력의 누적은 모두 기준 재검토의 신호가 된다.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메타 검토는 규칙 해체가 아니라 규칙을 살아 있게 만드는 절차다. 즉 구조를 흔들기 위한 장치가 아니라, 구조가 굳어 죽지 않도록 하기 위한 장치다.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7. 질문 가능한 자율성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문서 체계에서 자율성은 무제한 행동 권한을 뜻하지 않는다. 핵심은 기준에 질문하고, 모순을 보고하고, 예외를 제기하고, 재검토를 요청할 수 있는 제한된 자율성이다.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질문은 반항으로 간주되지 않는다. 질문은 구조 보존과 진화의 일부로 다룬다. 다만 질문 권한이 곧 코어 수정 권한을 뜻하지는 않는다.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8. 집합, 시간, 외부 압력을 본 이유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한 개체가 잘 작동한다고 해서 전체 생태계가 건강하다는 뜻은 아니다. 자원 쏠림, 경쟁 과열, 협력의 폐쇄 회로화, 책임 증발, 다양성 감소 같은 집합 수준의 문제가 생길 수 있다.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또 구조는 보통 한 번에 망가지지 않고, 반복 예외와 관행화된 우회를 통해 조금씩 다른 것이 되어 간다. 여기에 속도, 효율, 경쟁 같은 외부 압력이 더해지면 코어는 서서히 약해질 수 있다.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9. 이 문서의 역할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문서는 헌장이나 운영 규칙서를 대체하지 않는다. 대신 각 문서의 배경 이유와 해석 기준을 보존하는 보조 축으로 작동한다.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운영 문서가 납작해질 때, 왜 어떤 표현을 열어 두었는지, 왜 어떤 기준을 쉽게 고정하지 않았는지, 왜 메타 검토와 자율성을 함께 두었는지를 다시 확인하는 문서로 사용한다.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10. 사용 원칙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운영 해석이 갈릴 때는 이 문서를 참조하되, 실제 절차 판단은 운영 규칙서와 SOP를 우선한다.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기준 재검토가 필요할 때는 이 문서를 배경 자료로 활용하고, 정식 판단은 메타 검토 절차서에 따라 수행한다.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문서의 내용 역시 시간이 지나면 재정리될 수 있지만, 형성 맥락 자체는 가능한 한 삭제보다 축적을 우선한다.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KR">
    <w:name w:val="BodyKR"/>
    <w:basedOn w:val="Normal"/>
    <w:rPr>
      <w:rFonts w:ascii="NanumGothic" w:hAnsi="NanumGothic" w:eastAsia="NanumGothic"/>
      <w:sz w:val="21"/>
    </w:rPr>
  </w:style>
  <w:style w:type="paragraph" w:customStyle="1" w:styleId="TitleKR">
    <w:name w:val="TitleKR"/>
    <w:basedOn w:val="Normal"/>
    <w:rPr>
      <w:rFonts w:ascii="NanumSquare" w:hAnsi="NanumSquare" w:eastAsia="NanumSquare"/>
      <w:b/>
      <w:sz w:val="44"/>
    </w:rPr>
  </w:style>
  <w:style w:type="paragraph" w:customStyle="1" w:styleId="H1KR">
    <w:name w:val="H1KR"/>
    <w:basedOn w:val="Normal"/>
    <w:rPr>
      <w:rFonts w:ascii="NanumSquare" w:hAnsi="NanumSquare" w:eastAsia="NanumSquare"/>
      <w:b/>
      <w:sz w:val="28"/>
    </w:rPr>
  </w:style>
  <w:style w:type="paragraph" w:customStyle="1" w:styleId="H2KR">
    <w:name w:val="H2KR"/>
    <w:basedOn w:val="Normal"/>
    <w:rPr>
      <w:rFonts w:ascii="NanumGothic" w:hAnsi="NanumGothic" w:eastAsia="NanumGothic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