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설계 배경 및 형성 맥락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이 구조가 왜 이런 모양이 되었는지 배경과 형성 과정을 보존하는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CONTEXT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운영 규칙만으로는 판단의 결이 너무 납작하게 느껴질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설계 배경 및 형성 맥락은(는)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이 구조가 왜 이런 모양이 되었는지 배경과 형성 과정을 보존하는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운영 규칙만으로는 판단의 결이 너무 납작하게 느껴질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20_integrated_charter / 21_glossary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출발점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돈, 욕망, 행복, 자유, 의미 같은 인간의 문제에서 출발해 AI와 시스템의 구조 문제로 번역했다.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중요한 발견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안전한 놀이터는 감옥도 방임도 아닌 구조다.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조건만으로 남겨두면 안 되는 부분이 있고, 그래서 메타 검토가 필요하다.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집합, 시간, 외부 압력 관점을 함께 보아야 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이 문서의 역할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운영 문서가 담지 못하는 이유와 긴장을 보존한다.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설계 배경 및 형성 맥락은(는)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