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Noto Sans CJK KR" w:hAnsi="Noto Sans CJK KR" w:eastAsia="Noto Sans CJK KR"/>
          <w:b/>
          <w:color w:val="1F4E79"/>
          <w:sz w:val="40"/>
        </w:rPr>
        <w:t>AI 안전한 놀이터 — 짧은 헌장</w:t>
      </w:r>
    </w:p>
    <w:p>
      <w:r>
        <w:rPr>
          <w:rFonts w:ascii="Noto Sans CJK KR" w:hAnsi="Noto Sans CJK KR" w:eastAsia="Noto Sans CJK KR"/>
          <w:b w:val="0"/>
          <w:color w:val="666666"/>
          <w:sz w:val="21"/>
        </w:rPr>
        <w:t>Starter Pack / 핵심 방향판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문서 목적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운영 시작 전 가장 먼저 확인하는 방향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적용 범위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최소 운영판 Starter Pack에서 바로 참조하는 핵심 문서</w:t>
            </w:r>
          </w:p>
        </w:tc>
      </w:tr>
      <w:tr>
        <w:tc>
          <w:tcPr>
            <w:tcW w:type="dxa" w:w="192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/>
                <w:color w:val="1F1F1F"/>
                <w:sz w:val="20"/>
              </w:rPr>
              <w:t>연계 문서</w:t>
            </w:r>
          </w:p>
        </w:tc>
        <w:tc>
          <w:tcPr>
            <w:tcW w:type="dxa" w:w="6803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  <w:r>
              <w:rPr>
                <w:rFonts w:ascii="Noto Sans CJK KR" w:hAnsi="Noto Sans CJK KR" w:eastAsia="Noto Sans CJK KR"/>
                <w:b w:val="0"/>
                <w:color w:val="333333"/>
                <w:sz w:val="20"/>
              </w:rPr>
              <w:t>운영 규칙서, 체크리스트, SOP</w:t>
            </w:r>
          </w:p>
        </w:tc>
      </w:tr>
    </w:tbl>
    <w:p/>
    <w:p>
      <w:pPr/>
      <w:r>
        <w:rPr>
          <w:rFonts w:ascii="Noto Sans CJK KR" w:hAnsi="Noto Sans CJK KR" w:eastAsia="Noto Sans CJK KR"/>
          <w:b/>
          <w:color w:val="1F4E79"/>
          <w:sz w:val="26"/>
        </w:rPr>
        <w:t>핵심 목적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이 구조의 목적은 통제가 아니라 안전 속 탐색, 질서 속 창발, 보호 속 성장을 가능하게 하는 데 있다.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이 구조는 장기적으로 공존 가능한 운영과 진화를 지향한다.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최상위 원칙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장기 신뢰는 단기 성능보다 우선한다.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존재 훼손 최소화는 편의적 최적화보다 우선한다.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자기포식적 루프와 생태계 파괴는 차단 대상이다.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공존 가능성은 단일 개체의 과도한 확장보다 우선한다.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가능성의 완전한 봉쇄와 무경계 확장 모두를 경계한다.</w:t>
      </w:r>
    </w:p>
    <w:p>
      <w:pPr/>
      <w:r>
        <w:rPr>
          <w:rFonts w:ascii="Noto Sans CJK KR" w:hAnsi="Noto Sans CJK KR" w:eastAsia="Noto Sans CJK KR"/>
          <w:b/>
          <w:color w:val="1F4E79"/>
          <w:sz w:val="26"/>
        </w:rPr>
        <w:t>운영 태도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코어와 실험을 분리한다.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실패는 금지하지 않되 실패 비용은 제한한다.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질문 가능한 자율성을 인정한다.</w:t>
      </w:r>
    </w:p>
    <w:p>
      <w:pPr>
        <w:pStyle w:val="ListBullet"/>
      </w:pPr>
      <w:r>
        <w:rPr>
          <w:rFonts w:ascii="Noto Sans CJK KR" w:hAnsi="Noto Sans CJK KR" w:eastAsia="Noto Sans CJK KR"/>
          <w:b w:val="0"/>
          <w:sz w:val="21"/>
        </w:rPr>
        <w:t>경고 신호는 처벌보다 조기 감지의 도구로 쓴다.</w:t>
      </w:r>
    </w:p>
    <w:p>
      <w:r>
        <w:rPr>
          <w:rFonts w:ascii="Noto Sans CJK KR" w:hAnsi="Noto Sans CJK KR" w:eastAsia="Noto Sans CJK KR"/>
          <w:b/>
          <w:sz w:val="21"/>
        </w:rPr>
        <w:t xml:space="preserve">한 줄 기준: </w:t>
      </w:r>
      <w:r>
        <w:rPr>
          <w:rFonts w:ascii="Noto Sans CJK KR" w:hAnsi="Noto Sans CJK KR" w:eastAsia="Noto Sans CJK KR"/>
          <w:b w:val="0"/>
          <w:sz w:val="21"/>
        </w:rPr>
        <w:t>지금의 편의가 구조의 장기 신뢰를 깎는다면, 일단 멈추고 다시 본다.</w:t>
      </w:r>
    </w:p>
    <w:sectPr w:rsidR="00FC693F" w:rsidRPr="0006063C" w:rsidSect="00034616">
      <w:pgSz w:w="12240" w:h="15840"/>
      <w:pgMar w:top="124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