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40"/>
        </w:rPr>
        <w:t>AI 안전한 놀이터 — 운영 규칙서 발췌본</w:t>
      </w:r>
    </w:p>
    <w:p>
      <w:r>
        <w:rPr>
          <w:rFonts w:ascii="Noto Sans CJK KR" w:hAnsi="Noto Sans CJK KR" w:eastAsia="Noto Sans CJK KR"/>
          <w:b w:val="0"/>
          <w:color w:val="666666"/>
          <w:sz w:val="21"/>
        </w:rPr>
        <w:t>Starter Pack / 평시 운영판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문서 목적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일상 운영에서 즉시 참고하는 최소 기준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적용 범위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최소 운영판 Starter Pack에서 바로 참조하는 핵심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연계 문서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짧은 헌장, 체크리스트, SOP</w:t>
            </w:r>
          </w:p>
        </w:tc>
      </w:tr>
    </w:tbl>
    <w:p/>
    <w:p>
      <w:pPr/>
      <w:r>
        <w:rPr>
          <w:rFonts w:ascii="Noto Sans CJK KR" w:hAnsi="Noto Sans CJK KR" w:eastAsia="Noto Sans CJK KR"/>
          <w:b/>
          <w:color w:val="1F4E79"/>
          <w:sz w:val="26"/>
        </w:rPr>
        <w:t>운영 기본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평시 운영은 기존 조건 안에서 처리한다.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 인접 변경과 외부 연결 확대는 자동 허용하지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기록 없는 예외, 변경, 긴급 조치는 정식 운영으로 인정하지 않는다.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코어/실험 분리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실험은 격리된 구역에서 수행한다.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실험 결과는 자동으로 코어에 반영하지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실험 실패는 기록하고, 필요 시 즉시 중단하거나 회귀한다.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예외 처리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단발 예외는 요청서로 올리고 기록한다.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반복 예외는 구조 문제 신호로 본다.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예외는 자동 승인도 자동 처벌도 하지 않는다.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기록과 권한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주요 변경, 예외, 승인, 권한 변경, 외부 압력 요청은 기록한다.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권한은 최소 범위로 부여하고 자동 상승시키지 않는다.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외부 압력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속도·효율·경쟁 요구는 자동 반영하지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편의 요청은 신뢰 비용과 복구 비용을 함께 설명해야 한다.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