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left"/>
      </w:pPr>
      <w:r>
        <w:rPr>
          <w:rFonts w:ascii="Malgun Gothic" w:hAnsi="Malgun Gothic" w:eastAsia="Malgun Gothic"/>
          <w:b/>
          <w:color w:val="1F4E79"/>
          <w:sz w:val="44"/>
        </w:rPr>
        <w:t>AI 안전한 놀이터 운영 규칙서</w:t>
      </w:r>
    </w:p>
    <w:p>
      <w:pPr>
        <w:pStyle w:val="Subtitle"/>
        <w:spacing w:after="280"/>
      </w:pPr>
      <w:r>
        <w:t>일상 운영 기준과 구조적 규칙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문서 상태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초안 v1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버전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2026-03-24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문서 목적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AI 안전한 놀이터 문서 체계의 기준·절차·운영 방식을 정리하기 위한 문서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적용 범위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운영 실무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참조 문서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통합 헌장, 체크리스트, SOP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787"/>
            <w:shd w:fill="F6F8FB"/>
            <w:tcBorders>
              <w:left w:val="single" w:sz="8" w:color="D7DEE8"/>
              <w:top w:val="single" w:sz="8" w:color="D7DEE8"/>
              <w:right w:val="single" w:sz="8" w:color="D7DEE8"/>
              <w:bottom w:val="single" w:sz="8" w:color="D7DEE8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BoxTitle"/>
            </w:pPr>
            <w:r>
              <w:t>첫 페이지 사용 안내</w:t>
            </w:r>
          </w:p>
          <w:p>
            <w:pPr>
              <w:spacing w:after="40"/>
              <w:ind w:left="113"/>
            </w:pPr>
            <w:r>
              <w:t>1) 이 문서는 코어 원리와 실제 운영을 연결하는 기준 문서다.</w:t>
            </w:r>
          </w:p>
          <w:p>
            <w:pPr>
              <w:spacing w:after="40"/>
              <w:ind w:left="113"/>
            </w:pPr>
            <w:r>
              <w:t>2) 해석이 흔들리면 먼저 짧은 헌장 또는 통합 헌장을 참조한다.</w:t>
            </w:r>
          </w:p>
          <w:p>
            <w:pPr>
              <w:spacing w:after="40"/>
              <w:ind w:left="113"/>
            </w:pPr>
            <w:r>
              <w:t>3) 이상 징후가 있으면 체크리스트, 기준 자체 문제면 메타 검토 절차서를 본다.</w:t>
            </w:r>
          </w:p>
        </w:tc>
      </w:tr>
    </w:tbl>
    <w:p>
      <w:r>
        <w:br w:type="page"/>
      </w:r>
    </w:p>
    <w:p>
      <w:pPr>
        <w:pStyle w:val="Heading1"/>
      </w:pPr>
      <w:r>
        <w:t>운영 계층</w:t>
      </w:r>
    </w:p>
    <w:p>
      <w:pPr>
        <w:spacing w:after="80"/>
      </w:pPr>
      <w:r>
        <w:t>운영은 코어 계층, 운영 계층, 실행 계층, 메타 계층으로 나뉜다.</w:t>
      </w:r>
    </w:p>
    <w:p>
      <w:pPr>
        <w:pStyle w:val="Heading1"/>
      </w:pPr>
      <w:r>
        <w:t>기본 운영 규칙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코어와 실험을 분리한다.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고위험 권한은 자동 확대하지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자원 배분은 전체 생태계 지속 가능성을 고려한다.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주요 변경과 예외는 기록한다.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외부 압력은 자동 반영하지 않는다.</w:t>
      </w:r>
    </w:p>
    <w:p>
      <w:pPr>
        <w:pStyle w:val="Heading1"/>
      </w:pPr>
      <w:r>
        <w:t>예외 운영</w:t>
      </w:r>
    </w:p>
    <w:p>
      <w:pPr>
        <w:spacing w:after="80"/>
      </w:pPr>
      <w:r>
        <w:t>단발 예외는 운영 처리할 수 있지만, 반복 예외는 구조 문제일 수 있으므로 메타 검토 후보로 올린다.</w:t>
      </w:r>
    </w:p>
    <w:p>
      <w:pPr>
        <w:pStyle w:val="Heading1"/>
      </w:pPr>
      <w:r>
        <w:t>변경 관리</w:t>
      </w:r>
    </w:p>
    <w:p>
      <w:pPr>
        <w:spacing w:after="80"/>
      </w:pPr>
      <w:r>
        <w:t>중요 변경은 코어 원리 충돌 여부, 복구 가능성, 기록 가능성, 생태계 부작용을 함께 본다.</w:t>
      </w:r>
    </w:p>
    <w:p>
      <w:pPr>
        <w:pStyle w:val="Heading1"/>
      </w:pPr>
      <w:r>
        <w:t>핵심 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EAF1F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운영 영역</w:t>
            </w:r>
          </w:p>
        </w:tc>
        <w:tc>
          <w:tcPr>
            <w:tcW w:type="dxa" w:w="4082"/>
            <w:shd w:fill="EAF1F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주요 질문</w:t>
            </w:r>
          </w:p>
        </w:tc>
        <w:tc>
          <w:tcPr>
            <w:tcW w:type="dxa" w:w="2721"/>
            <w:shd w:fill="EAF1F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기본 이동 문서</w:t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권한</w:t>
            </w:r>
          </w:p>
        </w:tc>
        <w:tc>
          <w:tcPr>
            <w:tcW w:type="dxa" w:w="408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누가 무엇을 어디까지 할 수 있는가</w:t>
            </w:r>
          </w:p>
        </w:tc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운영 규칙서 4장</w:t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자원</w:t>
            </w:r>
          </w:p>
        </w:tc>
        <w:tc>
          <w:tcPr>
            <w:tcW w:type="dxa" w:w="408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누가 얼마나 점유하는가</w:t>
            </w:r>
          </w:p>
        </w:tc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운영 규칙서 5장</w:t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예외</w:t>
            </w:r>
          </w:p>
        </w:tc>
        <w:tc>
          <w:tcPr>
            <w:tcW w:type="dxa" w:w="408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반복되는가 구조적인가</w:t>
            </w:r>
          </w:p>
        </w:tc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운영 규칙서 7장 / 메타 검토</w:t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외부 압력</w:t>
            </w:r>
          </w:p>
        </w:tc>
        <w:tc>
          <w:tcPr>
            <w:tcW w:type="dxa" w:w="408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편의가 코어를 잠식하는가</w:t>
            </w:r>
          </w:p>
        </w:tc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r>
              <w:t>운영 규칙서 12장</w:t>
            </w:r>
          </w:p>
        </w:tc>
      </w:tr>
    </w:tbl>
    <w:p>
      <w:pPr>
        <w:pStyle w:val="Heading1"/>
      </w:pPr>
      <w:r>
        <w:t>문서 사용 메모</w:t>
      </w:r>
    </w:p>
    <w:p>
      <w:r>
        <w:t>이 문서는 초안 v1이며, 실제 운영에 맞게 메타 검토와 변경 이력을 통해 조정될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페이지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A6270"/>
        <w:sz w:val="18"/>
      </w:rPr>
      <w:t>AI 안전한 놀이터 운영 규칙서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5A62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itle">
    <w:name w:val="BoxTitle"/>
    <w:rPr>
      <w:rFonts w:ascii="Malgun Gothic" w:hAnsi="Malgun Gothic" w:eastAsia="Malgun Gothic"/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