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234A8A"/>
          <w:sz w:val="40"/>
        </w:rPr>
        <w:t>04. 경고 신호 체크리스트</w:t>
      </w:r>
    </w:p>
    <w:p>
      <w:r>
        <w:rPr>
          <w:rFonts w:ascii="Malgun Gothic" w:hAnsi="Malgun Gothic" w:eastAsia="Malgun Gothic"/>
          <w:i/>
          <w:color w:val="5A5A5A"/>
          <w:sz w:val="21"/>
        </w:rPr>
        <w:t>이상 징후를 관찰·경고·위험 단계로 빠르게 판정하기 위한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1"/>
            <w:vAlign w:val="center"/>
            <w:shd w:fill="D9E6F2"/>
          </w:tcPr>
          <w:p>
            <w:r>
              <w:t>문서 목적</w:t>
            </w:r>
          </w:p>
        </w:tc>
        <w:tc>
          <w:tcPr>
            <w:tcW w:type="dxa" w:w="6520"/>
            <w:vAlign w:val="center"/>
          </w:tcPr>
          <w:p>
            <w:r>
              <w:t>이상 징후를 관찰·경고·위험 단계로 빠르게 판정하기 위한 문서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적용 범위</w:t>
            </w:r>
          </w:p>
        </w:tc>
        <w:tc>
          <w:tcPr>
            <w:tcW w:type="dxa" w:w="6520"/>
            <w:vAlign w:val="center"/>
          </w:tcPr>
          <w:p>
            <w:r>
              <w:t>AI 안전한 놀이터 문서 체계 내 04~09 보조 문서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참조 기준</w:t>
            </w:r>
          </w:p>
        </w:tc>
        <w:tc>
          <w:tcPr>
            <w:tcW w:type="dxa" w:w="6520"/>
            <w:vAlign w:val="center"/>
          </w:tcPr>
          <w:p>
            <w:r>
              <w:t>운영 규칙서, 메타 검토 절차서, 위험 대응표(SOP)</w:t>
            </w:r>
          </w:p>
        </w:tc>
      </w:tr>
    </w:tbl>
    <w:p/>
    <w:p>
      <w:pPr>
        <w:pStyle w:val="Heading1"/>
        <w:spacing w:before="160" w:after="80"/>
      </w:pPr>
      <w:r>
        <w:t>판정 단계</w:t>
      </w:r>
    </w:p>
    <w:p>
      <w:pPr>
        <w:ind w:left="255" w:hanging="142"/>
      </w:pPr>
      <w:r>
        <w:t>• 관찰: 드문 발생, 국소 발생, 코어 영향 불명확. 기록 후 추적한다.</w:t>
      </w:r>
    </w:p>
    <w:p>
      <w:pPr>
        <w:ind w:left="255" w:hanging="142"/>
      </w:pPr>
      <w:r>
        <w:t>• 경고: 반복 발생, 유사 패턴 누적, 구조적 해석 필요. 메타 검토 후보로 올린다.</w:t>
      </w:r>
    </w:p>
    <w:p>
      <w:pPr>
        <w:ind w:left="255" w:hanging="142"/>
      </w:pPr>
      <w:r>
        <w:t>• 위험: 코어 약화와 직접 연결되거나 생태계 손상이 확인되는 상태. 즉시 제한·격리·복구 검토가 필요하다.</w:t>
      </w:r>
    </w:p>
    <w:p>
      <w:pPr>
        <w:pStyle w:val="Heading1"/>
        <w:spacing w:before="160" w:after="80"/>
      </w:pPr>
      <w:r>
        <w:t>집합 건전성 신호</w:t>
      </w:r>
    </w:p>
    <w:p>
      <w:pPr>
        <w:ind w:left="255" w:hanging="142"/>
      </w:pPr>
      <w:r>
        <w:t>• 자원 쏠림이 반복된다.</w:t>
      </w:r>
    </w:p>
    <w:p>
      <w:pPr>
        <w:ind w:left="255" w:hanging="142"/>
      </w:pPr>
      <w:r>
        <w:t>• 경쟁이 탐색보다 소모를 증가시킨다.</w:t>
      </w:r>
    </w:p>
    <w:p>
      <w:pPr>
        <w:ind w:left="255" w:hanging="142"/>
      </w:pPr>
      <w:r>
        <w:t>• 협력이 검증보다 동조를 강화한다.</w:t>
      </w:r>
    </w:p>
    <w:p>
      <w:pPr>
        <w:ind w:left="255" w:hanging="142"/>
      </w:pPr>
      <w:r>
        <w:t>• 책임 경로가 흐려져 아무도 전체를 설명하지 못한다.</w:t>
      </w:r>
    </w:p>
    <w:p>
      <w:pPr>
        <w:ind w:left="255" w:hanging="142"/>
      </w:pPr>
      <w:r>
        <w:t>• 실험 다양성이 감소하고 신규 경로가 형식적으로만 유지된다.</w:t>
      </w:r>
    </w:p>
    <w:p>
      <w:pPr>
        <w:pStyle w:val="Heading1"/>
        <w:spacing w:before="160" w:after="80"/>
      </w:pPr>
      <w:r>
        <w:t>드리프트 신호</w:t>
      </w:r>
    </w:p>
    <w:p>
      <w:pPr>
        <w:ind w:left="255" w:hanging="142"/>
      </w:pPr>
      <w:r>
        <w:t>• 동일한 예외가 반복된다.</w:t>
      </w:r>
    </w:p>
    <w:p>
      <w:pPr>
        <w:ind w:left="255" w:hanging="142"/>
      </w:pPr>
      <w:r>
        <w:t>• 검증 생략이 관행처럼 받아들여진다.</w:t>
      </w:r>
    </w:p>
    <w:p>
      <w:pPr>
        <w:ind w:left="255" w:hanging="142"/>
      </w:pPr>
      <w:r>
        <w:t>• 코어 원칙이 문구로만 남는다.</w:t>
      </w:r>
    </w:p>
    <w:p>
      <w:pPr>
        <w:ind w:left="255" w:hanging="142"/>
      </w:pPr>
      <w:r>
        <w:t>• 규칙의 기원과 도입 이유가 잊힌다.</w:t>
      </w:r>
    </w:p>
    <w:p>
      <w:pPr>
        <w:ind w:left="255" w:hanging="142"/>
      </w:pPr>
      <w:r>
        <w:t>• 형식적 준수와 실질 목적이 분리된다.</w:t>
      </w:r>
    </w:p>
    <w:p>
      <w:pPr>
        <w:pStyle w:val="Heading1"/>
        <w:spacing w:before="160" w:after="80"/>
      </w:pPr>
      <w:r>
        <w:t>외부 압력 신호</w:t>
      </w:r>
    </w:p>
    <w:p>
      <w:pPr>
        <w:ind w:left="255" w:hanging="142"/>
      </w:pPr>
      <w:r>
        <w:t>• 속도나 효율을 이유로 승인 단계 축소 요구가 늘어난다.</w:t>
      </w:r>
    </w:p>
    <w:p>
      <w:pPr>
        <w:ind w:left="255" w:hanging="142"/>
      </w:pPr>
      <w:r>
        <w:t>• 보호 장치가 비용으로만 취급된다.</w:t>
      </w:r>
    </w:p>
    <w:p>
      <w:pPr>
        <w:ind w:left="255" w:hanging="142"/>
      </w:pPr>
      <w:r>
        <w:t>• 경쟁 압박 때문에 내부 기준이 느슨해진다.</w:t>
      </w:r>
    </w:p>
    <w:p>
      <w:pPr>
        <w:ind w:left="255" w:hanging="142"/>
      </w:pPr>
      <w:r>
        <w:t>• 완화 요청은 많지만 장기 비용 설명은 없다.</w:t>
      </w:r>
    </w:p>
    <w:p>
      <w:pPr>
        <w:ind w:left="255" w:hanging="142"/>
      </w:pPr>
      <w:r>
        <w:t>• 편의 언어가 운영 철학을 대체한다.</w:t>
      </w:r>
    </w:p>
    <w:p>
      <w:pPr>
        <w:pStyle w:val="Heading1"/>
        <w:spacing w:before="160" w:after="80"/>
      </w:pPr>
      <w:r>
        <w:t>기본 이동 경로</w:t>
      </w:r>
    </w:p>
    <w:p>
      <w:pPr>
        <w:ind w:left="255" w:hanging="142"/>
      </w:pPr>
      <w:r>
        <w:t>• 관찰: 운영 규칙서 재확인</w:t>
      </w:r>
    </w:p>
    <w:p>
      <w:pPr>
        <w:ind w:left="255" w:hanging="142"/>
      </w:pPr>
      <w:r>
        <w:t>• 경고: 메타 검토 절차서 회부</w:t>
      </w:r>
    </w:p>
    <w:p>
      <w:pPr>
        <w:ind w:left="255" w:hanging="142"/>
      </w:pPr>
      <w:r>
        <w:t>• 위험: SOP 즉시 적용 후 필요 시 메타 검토 연계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34A8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